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pStyle w:val="Style_2"/>
        <w:spacing w:after="0" w:before="0"/>
        <w:ind/>
        <w:jc w:val="center"/>
        <w:rPr>
          <w:rFonts w:ascii="XO Thames" w:hAnsi="XO Thames"/>
          <w:b w:val="1"/>
        </w:rPr>
      </w:pPr>
    </w:p>
    <w:p w14:paraId="04000000">
      <w:pPr>
        <w:pStyle w:val="Style_2"/>
        <w:spacing w:after="0" w:before="0"/>
        <w:ind/>
        <w:jc w:val="center"/>
        <w:rPr>
          <w:rFonts w:ascii="XO Thames" w:hAnsi="XO Thames"/>
          <w:b w:val="1"/>
        </w:rPr>
      </w:pPr>
      <w:r>
        <w:rPr>
          <w:rFonts w:ascii="XO Thames" w:hAnsi="XO Thames"/>
          <w:b w:val="1"/>
        </w:rPr>
        <w:t xml:space="preserve">ТЕХНИЧЕСКИЕ ТРЕБОВАНИЯ К УСТАНОВКЕ И ВНЕШНЕМУ ВИДУ </w:t>
      </w:r>
      <w:r>
        <w:rPr>
          <w:rFonts w:ascii="XO Thames" w:hAnsi="XO Thames"/>
          <w:b w:val="1"/>
        </w:rPr>
        <w:t>РЕКЛАМНОЙ КОНСТРУКЦИИ</w:t>
      </w:r>
      <w:r>
        <w:rPr>
          <w:rFonts w:ascii="XO Thames" w:hAnsi="XO Thames"/>
          <w:b w:val="1"/>
        </w:rPr>
        <w:t xml:space="preserve"> «</w:t>
      </w:r>
      <w:r>
        <w:rPr>
          <w:rFonts w:ascii="XO Thames" w:hAnsi="XO Thames"/>
          <w:b w:val="1"/>
        </w:rPr>
        <w:t>АФИШНАЯ</w:t>
      </w:r>
      <w:r>
        <w:rPr>
          <w:rFonts w:ascii="XO Thames" w:hAnsi="XO Thames"/>
          <w:b w:val="1"/>
        </w:rPr>
        <w:t xml:space="preserve"> </w:t>
      </w:r>
      <w:r>
        <w:rPr>
          <w:rFonts w:ascii="XO Thames" w:hAnsi="XO Thames"/>
          <w:b w:val="1"/>
        </w:rPr>
        <w:t>КОНСТРУКЦИЯ</w:t>
      </w:r>
      <w:r>
        <w:rPr>
          <w:rFonts w:ascii="XO Thames" w:hAnsi="XO Thames"/>
          <w:b w:val="1"/>
        </w:rPr>
        <w:t>»</w:t>
      </w:r>
    </w:p>
    <w:p w14:paraId="05000000">
      <w:pPr>
        <w:pStyle w:val="Style_2"/>
        <w:spacing w:after="0" w:before="0"/>
        <w:ind/>
        <w:jc w:val="both"/>
        <w:rPr>
          <w:rFonts w:ascii="XO Thames" w:hAnsi="XO Thames"/>
        </w:rPr>
      </w:pPr>
    </w:p>
    <w:p w14:paraId="06000000">
      <w:pPr>
        <w:pStyle w:val="Style_2"/>
        <w:spacing w:after="0" w:before="0"/>
        <w:ind w:firstLine="709"/>
        <w:jc w:val="both"/>
        <w:rPr>
          <w:rFonts w:ascii="XO Thames" w:hAnsi="XO Thames"/>
        </w:rPr>
      </w:pPr>
      <w:r>
        <w:rPr>
          <w:rFonts w:ascii="XO Thames" w:hAnsi="XO Thames"/>
        </w:rPr>
        <w:t>1. </w:t>
      </w:r>
      <w:r>
        <w:rPr>
          <w:rFonts w:ascii="XO Thames" w:hAnsi="XO Thames"/>
        </w:rPr>
        <w:t xml:space="preserve">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14:paraId="07000000">
      <w:pPr>
        <w:pStyle w:val="Style_2"/>
        <w:spacing w:after="0" w:before="0"/>
        <w:ind w:firstLine="709"/>
        <w:jc w:val="both"/>
        <w:rPr>
          <w:rFonts w:ascii="XO Thames" w:hAnsi="XO Thames"/>
        </w:rPr>
      </w:pPr>
      <w:r>
        <w:rPr>
          <w:rFonts w:ascii="XO Thames" w:hAnsi="XO Thames"/>
        </w:rPr>
        <w:t>- техническим регламентами условиям, строительным нормам и правилам (СНиП);</w:t>
      </w:r>
    </w:p>
    <w:p w14:paraId="08000000">
      <w:pPr>
        <w:pStyle w:val="Style_2"/>
        <w:spacing w:after="0" w:before="0"/>
        <w:ind w:firstLine="709"/>
        <w:jc w:val="both"/>
        <w:rPr>
          <w:rFonts w:ascii="XO Thames" w:hAnsi="XO Thames"/>
        </w:rPr>
      </w:pPr>
      <w:r>
        <w:rPr>
          <w:rFonts w:ascii="XO Thames" w:hAnsi="XO Thames"/>
        </w:rPr>
        <w:t>- правилам устройства электроустановок (ПУЭ);</w:t>
      </w:r>
    </w:p>
    <w:p w14:paraId="09000000">
      <w:pPr>
        <w:pStyle w:val="Style_2"/>
        <w:spacing w:after="0" w:before="0"/>
        <w:ind w:firstLine="709"/>
        <w:jc w:val="both"/>
        <w:rPr>
          <w:rFonts w:ascii="XO Thames" w:hAnsi="XO Thames"/>
        </w:rPr>
      </w:pPr>
      <w:r>
        <w:rPr>
          <w:rFonts w:ascii="XO Thames" w:hAnsi="XO Thames"/>
        </w:rPr>
        <w:t>- национальным стандартам ГОСТ Р;</w:t>
      </w:r>
    </w:p>
    <w:p w14:paraId="0A000000">
      <w:pPr>
        <w:pStyle w:val="Style_2"/>
        <w:spacing w:after="0" w:before="0"/>
        <w:ind w:firstLine="709"/>
        <w:jc w:val="both"/>
        <w:rPr>
          <w:rFonts w:ascii="XO Thames" w:hAnsi="XO Thames"/>
        </w:rPr>
      </w:pPr>
      <w:r>
        <w:rPr>
          <w:rFonts w:ascii="XO Thames" w:hAnsi="XO Thames"/>
        </w:rPr>
        <w:t>- другим документам и правовым актам.</w:t>
      </w:r>
    </w:p>
    <w:p w14:paraId="0B000000">
      <w:pPr>
        <w:pStyle w:val="Style_2"/>
        <w:spacing w:after="0" w:before="0"/>
        <w:ind w:firstLine="709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2. Рекламная конструкция должна иметь маркировку с указанием номера конструкции, названии компании и номера телефона оператора. Фундамент должен быть заглублен. </w:t>
      </w:r>
      <w:r>
        <w:rPr>
          <w:rFonts w:ascii="XO Thames" w:hAnsi="XO Thames"/>
        </w:rPr>
        <w:br/>
      </w:r>
      <w:r>
        <w:rPr>
          <w:rFonts w:ascii="XO Thames" w:hAnsi="XO Thames"/>
        </w:rPr>
        <w:t>Все металлоконструкции выполняются в строгом соблюдении проектной документации. Опорная стойка представлена металлической конструкцией круглого сечения.</w:t>
      </w:r>
      <w:r>
        <w:rPr>
          <w:rFonts w:ascii="XO Thames" w:hAnsi="XO Thames"/>
        </w:rPr>
        <w:t xml:space="preserve"> Не допускается деление информационного поля на отдельные самостоятельные части для размещения нескольких информационных сообщений. Информационное поле должно быть защищено прозрачным поликарбонатом или безопасным стеклом. Рекламная конструкция, выполненная </w:t>
      </w:r>
      <w:r>
        <w:rPr>
          <w:rFonts w:ascii="XO Thames" w:hAnsi="XO Thames"/>
        </w:rPr>
        <w:br/>
      </w:r>
      <w:r>
        <w:rPr>
          <w:rFonts w:ascii="XO Thames" w:hAnsi="XO Thames"/>
        </w:rPr>
        <w:t>в одностороннем варианте, должна иметь декоративно оформленную обратную сторону.</w:t>
      </w:r>
      <w:r>
        <w:rPr>
          <w:rFonts w:ascii="XO Thames" w:hAnsi="XO Thames"/>
        </w:rPr>
        <w:t xml:space="preserve"> </w:t>
      </w:r>
    </w:p>
    <w:p w14:paraId="0C000000">
      <w:pPr>
        <w:pStyle w:val="Style_2"/>
        <w:spacing w:after="0" w:before="0"/>
        <w:ind w:firstLine="709"/>
        <w:jc w:val="both"/>
        <w:rPr>
          <w:rFonts w:ascii="XO Thames" w:hAnsi="XO Thames"/>
        </w:rPr>
      </w:pPr>
      <w:r>
        <w:rPr>
          <w:rFonts w:ascii="XO Thames" w:hAnsi="XO Thames"/>
        </w:rPr>
        <w:t>3. Внешний вид и дизайн рекламной конструкции должен соответствовать требованиям:</w:t>
      </w:r>
    </w:p>
    <w:p w14:paraId="0D000000">
      <w:pPr>
        <w:pStyle w:val="Style_2"/>
        <w:spacing w:after="0" w:before="0"/>
        <w:ind w:firstLine="709"/>
        <w:jc w:val="both"/>
        <w:rPr>
          <w:rFonts w:ascii="XO Thames" w:hAnsi="XO Thames"/>
        </w:rPr>
      </w:pPr>
    </w:p>
    <w:p w14:paraId="0E000000">
      <w:pPr>
        <w:pStyle w:val="Style_2"/>
        <w:spacing w:after="0" w:before="0"/>
        <w:ind/>
        <w:jc w:val="center"/>
        <w:rPr>
          <w:rFonts w:ascii="XO Thames" w:hAnsi="XO Thames"/>
        </w:rPr>
      </w:pPr>
      <w:r>
        <w:rPr>
          <w:rFonts w:ascii="XO Thames" w:hAnsi="XO Thames"/>
        </w:rPr>
        <w:drawing>
          <wp:inline>
            <wp:extent cx="5390988" cy="2594272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5390988" cy="259427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F000000">
      <w:pPr>
        <w:pStyle w:val="Style_2"/>
        <w:spacing w:after="0" w:before="0"/>
        <w:ind/>
        <w:jc w:val="both"/>
        <w:rPr>
          <w:rFonts w:ascii="XO Thames" w:hAnsi="XO Thames"/>
        </w:rPr>
      </w:pPr>
    </w:p>
    <w:p w14:paraId="10000000">
      <w:pPr>
        <w:pStyle w:val="Style_2"/>
        <w:spacing w:after="0" w:before="0"/>
        <w:ind/>
        <w:jc w:val="both"/>
        <w:rPr>
          <w:rFonts w:ascii="XO Thames" w:hAnsi="XO Thames"/>
        </w:rPr>
      </w:pPr>
      <w:r>
        <w:rPr>
          <w:rFonts w:ascii="XO Thames" w:hAnsi="XO Thames"/>
        </w:rPr>
        <w:t>Габариты конструкции:</w:t>
      </w:r>
    </w:p>
    <w:p w14:paraId="11000000">
      <w:pPr>
        <w:pStyle w:val="Style_2"/>
        <w:spacing w:after="0" w:before="0"/>
        <w:ind/>
        <w:jc w:val="both"/>
        <w:rPr>
          <w:rFonts w:ascii="XO Thames" w:hAnsi="XO Thames"/>
          <w:sz w:val="20"/>
        </w:rPr>
      </w:pPr>
      <w:r>
        <w:rPr>
          <w:rFonts w:ascii="XO Thames" w:hAnsi="XO Thames"/>
          <w:sz w:val="20"/>
        </w:rPr>
        <w:t>Ширина: до 2000 мм                                               Опорная стойка: металлическая конструкция</w:t>
      </w:r>
    </w:p>
    <w:p w14:paraId="12000000">
      <w:pPr>
        <w:pStyle w:val="Style_2"/>
        <w:spacing w:after="0" w:before="0"/>
        <w:ind/>
        <w:jc w:val="both"/>
        <w:rPr>
          <w:rFonts w:ascii="XO Thames" w:hAnsi="XO Thames"/>
          <w:sz w:val="20"/>
        </w:rPr>
      </w:pPr>
      <w:r>
        <w:rPr>
          <w:rFonts w:ascii="XO Thames" w:hAnsi="XO Thames"/>
          <w:sz w:val="20"/>
        </w:rPr>
        <w:t xml:space="preserve">                                                                                   круглого сечения</w:t>
      </w:r>
    </w:p>
    <w:p w14:paraId="13000000">
      <w:pPr>
        <w:pStyle w:val="Style_2"/>
        <w:spacing w:after="0" w:before="0"/>
        <w:ind/>
        <w:jc w:val="both"/>
        <w:rPr>
          <w:rFonts w:ascii="XO Thames" w:hAnsi="XO Thames"/>
          <w:sz w:val="20"/>
        </w:rPr>
      </w:pPr>
      <w:r>
        <w:rPr>
          <w:rFonts w:ascii="XO Thames" w:hAnsi="XO Thames"/>
          <w:sz w:val="20"/>
        </w:rPr>
        <w:t xml:space="preserve">Высота: до 2500 мм                                                 Фундамент: в соответствии с п. 6.12 </w:t>
      </w:r>
      <w:r>
        <w:rPr>
          <w:rFonts w:ascii="XO Thames" w:hAnsi="XO Thames"/>
          <w:sz w:val="20"/>
        </w:rPr>
        <w:t>ГОСТа Р 52044-2003</w:t>
      </w:r>
    </w:p>
    <w:p w14:paraId="14000000">
      <w:pPr>
        <w:pStyle w:val="Style_2"/>
        <w:spacing w:after="0" w:before="0"/>
        <w:ind/>
        <w:jc w:val="both"/>
        <w:rPr>
          <w:rFonts w:ascii="XO Thames" w:hAnsi="XO Thames"/>
          <w:sz w:val="20"/>
        </w:rPr>
      </w:pPr>
      <w:r>
        <w:rPr>
          <w:rFonts w:ascii="XO Thames" w:hAnsi="XO Thames"/>
          <w:sz w:val="20"/>
        </w:rPr>
        <w:t xml:space="preserve">Облицовка: пластик или композитный материал Цвет конструкции: </w:t>
      </w:r>
      <w:r>
        <w:rPr>
          <w:rFonts w:ascii="XO Thames" w:hAnsi="XO Thames"/>
          <w:sz w:val="20"/>
        </w:rPr>
        <w:t>RAL</w:t>
      </w:r>
      <w:r>
        <w:rPr>
          <w:rFonts w:ascii="XO Thames" w:hAnsi="XO Thames"/>
          <w:sz w:val="20"/>
        </w:rPr>
        <w:t xml:space="preserve"> 7024</w:t>
      </w:r>
    </w:p>
    <w:p w14:paraId="15000000">
      <w:pPr>
        <w:pStyle w:val="Style_2"/>
        <w:spacing w:after="0" w:before="0"/>
        <w:ind/>
        <w:jc w:val="both"/>
        <w:rPr>
          <w:rFonts w:ascii="XO Thames" w:hAnsi="XO Thames"/>
          <w:sz w:val="20"/>
        </w:rPr>
      </w:pPr>
      <w:r>
        <w:rPr>
          <w:rFonts w:ascii="XO Thames" w:hAnsi="XO Thames"/>
          <w:sz w:val="20"/>
        </w:rPr>
        <w:t xml:space="preserve">Размер рекламного изображения: 1500х1500 мм Освещение: без освещения </w:t>
      </w:r>
    </w:p>
    <w:p w14:paraId="16000000">
      <w:pPr>
        <w:pStyle w:val="Style_2"/>
        <w:spacing w:after="0" w:before="0"/>
        <w:ind/>
        <w:jc w:val="both"/>
        <w:rPr>
          <w:rFonts w:ascii="XO Thames" w:hAnsi="XO Thames"/>
          <w:sz w:val="20"/>
        </w:rPr>
      </w:pPr>
      <w:r>
        <w:rPr>
          <w:rFonts w:ascii="XO Thames" w:hAnsi="XO Thames"/>
          <w:sz w:val="20"/>
        </w:rPr>
        <w:t xml:space="preserve">Технология смены </w:t>
      </w:r>
      <w:r>
        <w:rPr>
          <w:rFonts w:ascii="XO Thames" w:hAnsi="XO Thames"/>
          <w:sz w:val="20"/>
        </w:rPr>
        <w:t xml:space="preserve">изображения:   </w:t>
      </w:r>
      <w:r>
        <w:rPr>
          <w:rFonts w:ascii="XO Thames" w:hAnsi="XO Thames"/>
          <w:sz w:val="20"/>
        </w:rPr>
        <w:t xml:space="preserve">                        переклейка бумажного постера;</w:t>
      </w:r>
    </w:p>
    <w:p w14:paraId="17000000">
      <w:pPr>
        <w:pStyle w:val="Style_2"/>
        <w:spacing w:after="0" w:before="0"/>
        <w:ind/>
        <w:jc w:val="both"/>
        <w:rPr>
          <w:rFonts w:ascii="XO Thames" w:hAnsi="XO Thames"/>
          <w:sz w:val="20"/>
        </w:rPr>
      </w:pPr>
      <w:r>
        <w:rPr>
          <w:rFonts w:ascii="XO Thames" w:hAnsi="XO Thames"/>
          <w:sz w:val="20"/>
        </w:rPr>
        <w:t xml:space="preserve">                                                                                   натяжение винилового полотна;</w:t>
      </w:r>
    </w:p>
    <w:p w14:paraId="18000000">
      <w:pPr>
        <w:pStyle w:val="Style_2"/>
        <w:spacing w:after="0" w:before="0"/>
        <w:ind/>
        <w:jc w:val="both"/>
        <w:rPr>
          <w:rFonts w:ascii="XO Thames" w:hAnsi="XO Thames"/>
          <w:sz w:val="20"/>
        </w:rPr>
      </w:pPr>
      <w:r>
        <w:rPr>
          <w:rFonts w:ascii="XO Thames" w:hAnsi="XO Thames"/>
          <w:color w:themeColor="text1" w:val="000000"/>
          <w:sz w:val="20"/>
        </w:rPr>
        <w:t xml:space="preserve">                                                                                   цифровая</w:t>
      </w:r>
    </w:p>
    <w:p w14:paraId="19000000">
      <w:pPr>
        <w:pStyle w:val="Style_2"/>
        <w:spacing w:after="0" w:before="0"/>
        <w:ind/>
        <w:jc w:val="center"/>
        <w:rPr>
          <w:rFonts w:ascii="XO Thames" w:hAnsi="XO Thames"/>
        </w:rPr>
      </w:pPr>
    </w:p>
    <w:p w14:paraId="1A000000">
      <w:pPr>
        <w:rPr>
          <w:rFonts w:ascii="Liberation Serif" w:hAnsi="Liberation Serif"/>
          <w:b w:val="1"/>
        </w:rPr>
      </w:pPr>
    </w:p>
    <w:sectPr>
      <w:headerReference r:id="rId1" w:type="default"/>
      <w:pgSz w:h="16838" w:w="11906"/>
      <w:pgMar w:bottom="142" w:footer="709" w:gutter="0" w:header="709" w:left="1418" w:right="424" w:top="851"/>
      <w:pgNumType w:start="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/>
      <w:jc w:val="center"/>
      <w:rPr>
        <w:rFonts w:ascii="Times New Roman" w:hAnsi="Times New Roman"/>
        <w:sz w:val="24"/>
      </w:rPr>
    </w:pPr>
  </w:p>
  <w:p w14:paraId="02000000">
    <w:pPr>
      <w:pStyle w:val="Style_1"/>
      <w:ind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annotation text"/>
    <w:basedOn w:val="Style_3"/>
    <w:link w:val="Style_9_ch"/>
    <w:pPr>
      <w:spacing w:line="240" w:lineRule="auto"/>
      <w:ind/>
    </w:pPr>
    <w:rPr>
      <w:sz w:val="20"/>
    </w:rPr>
  </w:style>
  <w:style w:styleId="Style_9_ch" w:type="character">
    <w:name w:val="annotation text"/>
    <w:basedOn w:val="Style_3_ch"/>
    <w:link w:val="Style_9"/>
    <w:rPr>
      <w:sz w:val="20"/>
    </w:rPr>
  </w:style>
  <w:style w:styleId="Style_10" w:type="paragraph">
    <w:name w:val="List Paragraph"/>
    <w:basedOn w:val="Style_3"/>
    <w:link w:val="Style_10_ch"/>
    <w:pPr>
      <w:spacing w:after="0" w:line="240" w:lineRule="auto"/>
      <w:ind w:firstLine="0" w:left="720"/>
      <w:contextualSpacing w:val="1"/>
    </w:pPr>
    <w:rPr>
      <w:rFonts w:ascii="Times New Roman" w:hAnsi="Times New Roman"/>
      <w:sz w:val="24"/>
    </w:rPr>
  </w:style>
  <w:style w:styleId="Style_10_ch" w:type="character">
    <w:name w:val="List Paragraph"/>
    <w:basedOn w:val="Style_3_ch"/>
    <w:link w:val="Style_10"/>
    <w:rPr>
      <w:rFonts w:ascii="Times New Roman" w:hAnsi="Times New Roman"/>
      <w:sz w:val="24"/>
    </w:rPr>
  </w:style>
  <w:style w:styleId="Style_2" w:type="paragraph">
    <w:name w:val="Normal (Web)"/>
    <w:basedOn w:val="Style_3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3_ch"/>
    <w:link w:val="Style_2"/>
    <w:rPr>
      <w:rFonts w:ascii="Times New Roman" w:hAnsi="Times New Roman"/>
      <w:sz w:val="24"/>
    </w:rPr>
  </w:style>
  <w:style w:styleId="Style_11" w:type="paragraph">
    <w:name w:val="Balloon Text"/>
    <w:basedOn w:val="Style_3"/>
    <w:link w:val="Style_11_ch"/>
    <w:pPr>
      <w:spacing w:after="0" w:line="240" w:lineRule="auto"/>
      <w:ind/>
    </w:pPr>
    <w:rPr>
      <w:rFonts w:ascii="Segoe UI" w:hAnsi="Segoe UI"/>
      <w:sz w:val="18"/>
    </w:rPr>
  </w:style>
  <w:style w:styleId="Style_11_ch" w:type="character">
    <w:name w:val="Balloon Text"/>
    <w:basedOn w:val="Style_3_ch"/>
    <w:link w:val="Style_11"/>
    <w:rPr>
      <w:rFonts w:ascii="Segoe UI" w:hAnsi="Segoe UI"/>
      <w:sz w:val="18"/>
    </w:rPr>
  </w:style>
  <w:style w:styleId="Style_12" w:type="paragraph">
    <w:name w:val="annotation subject"/>
    <w:basedOn w:val="Style_9"/>
    <w:next w:val="Style_9"/>
    <w:link w:val="Style_12_ch"/>
    <w:rPr>
      <w:b w:val="1"/>
    </w:rPr>
  </w:style>
  <w:style w:styleId="Style_12_ch" w:type="character">
    <w:name w:val="annotation subject"/>
    <w:basedOn w:val="Style_9_ch"/>
    <w:link w:val="Style_12"/>
    <w:rPr>
      <w:b w:val="1"/>
    </w:rPr>
  </w:style>
  <w:style w:styleId="Style_13" w:type="paragraph">
    <w:name w:val="toc 3"/>
    <w:next w:val="Style_3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footer"/>
    <w:basedOn w:val="Style_3"/>
    <w:link w:val="Style_1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4_ch" w:type="character">
    <w:name w:val="footer"/>
    <w:basedOn w:val="Style_3_ch"/>
    <w:link w:val="Style_14"/>
  </w:style>
  <w:style w:styleId="Style_15" w:type="paragraph">
    <w:name w:val="annotation reference"/>
    <w:basedOn w:val="Style_16"/>
    <w:link w:val="Style_15_ch"/>
    <w:rPr>
      <w:sz w:val="16"/>
    </w:rPr>
  </w:style>
  <w:style w:styleId="Style_15_ch" w:type="character">
    <w:name w:val="annotation reference"/>
    <w:basedOn w:val="Style_16_ch"/>
    <w:link w:val="Style_15"/>
    <w:rPr>
      <w:sz w:val="16"/>
    </w:rPr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7_ch" w:type="character">
    <w:name w:val="heading 5"/>
    <w:link w:val="Style_17"/>
    <w:rPr>
      <w:rFonts w:ascii="XO Thames" w:hAnsi="XO Thames"/>
      <w:b w:val="1"/>
      <w:color w:val="000000"/>
      <w:sz w:val="22"/>
    </w:rPr>
  </w:style>
  <w:style w:styleId="Style_18" w:type="paragraph">
    <w:name w:val="heading 1"/>
    <w:next w:val="Style_3"/>
    <w:link w:val="Style_18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/>
      <w:jc w:val="left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3"/>
    <w:link w:val="Style_21_ch"/>
    <w:uiPriority w:val="39"/>
    <w:pPr>
      <w:ind w:firstLine="0" w:left="0"/>
    </w:pPr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3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24" w:type="paragraph">
    <w:name w:val="Заголовок №1_"/>
    <w:basedOn w:val="Style_16"/>
    <w:link w:val="Style_24_ch"/>
    <w:rPr>
      <w:rFonts w:ascii="Times New Roman" w:hAnsi="Times New Roman"/>
      <w:b w:val="0"/>
      <w:i w:val="0"/>
      <w:smallCaps w:val="0"/>
      <w:strike w:val="0"/>
      <w:spacing w:val="10"/>
      <w:sz w:val="23"/>
    </w:rPr>
  </w:style>
  <w:style w:styleId="Style_24_ch" w:type="character">
    <w:name w:val="Заголовок №1_"/>
    <w:basedOn w:val="Style_16_ch"/>
    <w:link w:val="Style_24"/>
    <w:rPr>
      <w:rFonts w:ascii="Times New Roman" w:hAnsi="Times New Roman"/>
      <w:b w:val="0"/>
      <w:i w:val="0"/>
      <w:smallCaps w:val="0"/>
      <w:strike w:val="0"/>
      <w:spacing w:val="10"/>
      <w:sz w:val="23"/>
    </w:rPr>
  </w:style>
  <w:style w:styleId="Style_25" w:type="paragraph">
    <w:name w:val="toc 8"/>
    <w:next w:val="Style_3"/>
    <w:link w:val="Style_25_ch"/>
    <w:uiPriority w:val="39"/>
    <w:pPr>
      <w:ind w:firstLine="0" w:left="1400"/>
    </w:pPr>
  </w:style>
  <w:style w:styleId="Style_25_ch" w:type="character">
    <w:name w:val="toc 8"/>
    <w:link w:val="Style_25"/>
  </w:style>
  <w:style w:styleId="Style_26" w:type="paragraph">
    <w:name w:val="toc 5"/>
    <w:next w:val="Style_3"/>
    <w:link w:val="Style_26_ch"/>
    <w:uiPriority w:val="39"/>
    <w:pPr>
      <w:ind w:firstLine="0" w:left="800"/>
    </w:pPr>
  </w:style>
  <w:style w:styleId="Style_26_ch" w:type="character">
    <w:name w:val="toc 5"/>
    <w:link w:val="Style_26"/>
  </w:style>
  <w:style w:styleId="Style_27" w:type="paragraph">
    <w:name w:val="Subtitle"/>
    <w:next w:val="Style_3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8" w:type="paragraph">
    <w:name w:val="toc 10"/>
    <w:next w:val="Style_3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next w:val="Style_3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1_ch" w:type="character">
    <w:name w:val="heading 2"/>
    <w:link w:val="Style_31"/>
    <w:rPr>
      <w:rFonts w:ascii="XO Thames" w:hAnsi="XO Thames"/>
      <w:b w:val="1"/>
      <w:color w:val="00A0FF"/>
      <w:sz w:val="26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3" w:type="table">
    <w:name w:val="Table Grid"/>
    <w:basedOn w:val="Style_3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2022-03-23T04:53:07Z</dcterms:modified>
</cp:coreProperties>
</file>