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</w:t>
      </w:r>
      <w:r w:rsidR="00D90965" w:rsidRPr="00E61505">
        <w:rPr>
          <w:rFonts w:ascii="Liberation Serif" w:hAnsi="Liberation Serif" w:cs="Liberation Serif"/>
          <w:lang w:val="ru-RU"/>
        </w:rPr>
        <w:lastRenderedPageBreak/>
        <w:t>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>в силу 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322C35" w:rsidRDefault="00322C3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322C35" w:rsidRDefault="00322C35" w:rsidP="00322C3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bookmarkStart w:id="4" w:name="_GoBack"/>
      <w:bookmarkEnd w:id="4"/>
    </w:p>
    <w:p w:rsidR="00322C35" w:rsidRDefault="00322C35" w:rsidP="00322C3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СУПЕРСАЙТ</w:t>
      </w:r>
      <w:r w:rsidRPr="00614C19">
        <w:rPr>
          <w:rFonts w:ascii="Liberation Serif" w:hAnsi="Liberation Serif" w:cs="Liberation Serif"/>
          <w:b/>
        </w:rPr>
        <w:t>»</w:t>
      </w:r>
      <w:r>
        <w:rPr>
          <w:rFonts w:ascii="Liberation Serif" w:hAnsi="Liberation Serif" w:cs="Liberation Serif"/>
          <w:b/>
        </w:rPr>
        <w:t xml:space="preserve"> (место № 0509150)</w:t>
      </w:r>
    </w:p>
    <w:p w:rsidR="00322C35" w:rsidRPr="00614C19" w:rsidRDefault="00322C35" w:rsidP="00322C35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322C35" w:rsidRPr="00B027F2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322C35" w:rsidRPr="00B027F2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322C35" w:rsidRPr="00B027F2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322C35" w:rsidRPr="00B027F2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322C35" w:rsidRPr="00B027F2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национальным стандартам ГОСТ-Р;</w:t>
      </w:r>
    </w:p>
    <w:p w:rsidR="00322C35" w:rsidRPr="00B027F2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другим документам и правовым актам.</w:t>
      </w:r>
    </w:p>
    <w:p w:rsidR="00322C35" w:rsidRPr="00B027F2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</w:t>
      </w:r>
      <w:r>
        <w:rPr>
          <w:rFonts w:ascii="Liberation Serif" w:hAnsi="Liberation Serif" w:cs="Liberation Serif"/>
        </w:rPr>
        <w:t xml:space="preserve"> 5х15 м</w:t>
      </w:r>
      <w:r w:rsidRPr="00B027F2">
        <w:rPr>
          <w:rFonts w:ascii="Liberation Serif" w:hAnsi="Liberation Serif" w:cs="Liberation Serif"/>
        </w:rPr>
        <w:t xml:space="preserve">, </w:t>
      </w:r>
      <w:r w:rsidRPr="00AF6FCB">
        <w:rPr>
          <w:rFonts w:ascii="Liberation Serif" w:hAnsi="Liberation Serif" w:cs="Liberation Serif"/>
        </w:rPr>
        <w:t>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br/>
        <w:t>или внутренним</w:t>
      </w:r>
      <w:r w:rsidRPr="00AF6FCB">
        <w:rPr>
          <w:rFonts w:ascii="Liberation Serif" w:hAnsi="Liberation Serif" w:cs="Liberation Serif"/>
        </w:rPr>
        <w:t xml:space="preserve"> подсветом</w:t>
      </w:r>
      <w:r w:rsidRPr="00B027F2">
        <w:rPr>
          <w:rFonts w:ascii="Liberation Serif" w:hAnsi="Liberation Serif" w:cs="Liberation Serif"/>
        </w:rPr>
        <w:t xml:space="preserve">. </w:t>
      </w:r>
      <w:r w:rsidRPr="00AF6FCB">
        <w:rPr>
          <w:rFonts w:ascii="Liberation Serif" w:hAnsi="Liberation Serif" w:cs="Liberation Serif"/>
        </w:rPr>
        <w:t xml:space="preserve">Рекламная конструкция должна иметь маркировку 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>
        <w:rPr>
          <w:rFonts w:ascii="Liberation Serif" w:hAnsi="Liberation Serif" w:cs="Liberation Serif"/>
        </w:rPr>
        <w:t xml:space="preserve">круглого </w:t>
      </w:r>
      <w:r w:rsidRPr="00AF6FCB">
        <w:rPr>
          <w:rFonts w:ascii="Liberation Serif" w:hAnsi="Liberation Serif" w:cs="Liberation Serif"/>
        </w:rPr>
        <w:t>сечения. Фундамент должен быть заглублен. Все металлоконструкции выполняются в строгом соблюдении проектной документации.</w:t>
      </w:r>
    </w:p>
    <w:p w:rsidR="00322C35" w:rsidRDefault="00322C35" w:rsidP="00322C35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322C35" w:rsidRDefault="00322C35" w:rsidP="00322C35">
      <w:pPr>
        <w:rPr>
          <w:lang w:val="ru-RU"/>
        </w:rPr>
      </w:pPr>
    </w:p>
    <w:p w:rsidR="00322C35" w:rsidRDefault="00322C35" w:rsidP="00322C35">
      <w:pPr>
        <w:rPr>
          <w:lang w:val="ru-RU"/>
        </w:rPr>
      </w:pPr>
      <w:r w:rsidRPr="00DA33FD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CC1A4AF" wp14:editId="1BD787A5">
                <wp:simplePos x="0" y="0"/>
                <wp:positionH relativeFrom="margin">
                  <wp:posOffset>2585720</wp:posOffset>
                </wp:positionH>
                <wp:positionV relativeFrom="paragraph">
                  <wp:posOffset>14604</wp:posOffset>
                </wp:positionV>
                <wp:extent cx="3804249" cy="3552825"/>
                <wp:effectExtent l="0" t="0" r="0" b="0"/>
                <wp:wrapNone/>
                <wp:docPr id="1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249" cy="3552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2C35" w:rsidRPr="00DA33FD" w:rsidRDefault="00322C35" w:rsidP="00322C35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РАЗМЕРЫ:</w:t>
                            </w:r>
                          </w:p>
                          <w:p w:rsidR="00322C35" w:rsidRPr="00DA33FD" w:rsidRDefault="00322C35" w:rsidP="00322C35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размер информационного поля 5х15 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м</w:t>
                            </w:r>
                          </w:p>
                          <w:p w:rsidR="00322C35" w:rsidRPr="00DA33FD" w:rsidRDefault="00322C35" w:rsidP="00322C35">
                            <w:pPr>
                              <w:pStyle w:val="af2"/>
                              <w:spacing w:before="60" w:beforeAutospacing="0" w:after="0" w:afterAutospacing="0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ТЕХНОЛОГИЯ С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МЕНЫ ИЗОБРАЖЕНИЙ:</w:t>
                            </w:r>
                          </w:p>
                          <w:p w:rsidR="00322C35" w:rsidRPr="00A119E6" w:rsidRDefault="00322C35" w:rsidP="00322C35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B027F2">
                              <w:rPr>
                                <w:rFonts w:ascii="Liberation Serif" w:eastAsia="Times New Roman" w:hAnsi="Liberation Serif" w:cs="Liberation Serif"/>
                              </w:rPr>
                              <w:t>скроллер;</w:t>
                            </w:r>
                          </w:p>
                          <w:p w:rsidR="00322C35" w:rsidRPr="00BB79C3" w:rsidRDefault="00322C35" w:rsidP="00322C35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BB79C3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цифро</w:t>
                            </w: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вая технология смены изображения (сторона </w:t>
                            </w: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Pr="002E671C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;</w:t>
                            </w:r>
                          </w:p>
                          <w:p w:rsidR="00322C35" w:rsidRPr="00B027F2" w:rsidRDefault="00322C35" w:rsidP="00322C35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B027F2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переклейка бумажного постера;</w:t>
                            </w:r>
                          </w:p>
                          <w:p w:rsidR="00322C35" w:rsidRPr="00B027F2" w:rsidRDefault="00322C35" w:rsidP="00322C35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B027F2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натяжение винилового полотна</w:t>
                            </w:r>
                          </w:p>
                          <w:p w:rsidR="00322C35" w:rsidRPr="00DA33FD" w:rsidRDefault="00322C35" w:rsidP="00322C35">
                            <w:pPr>
                              <w:pStyle w:val="af2"/>
                              <w:spacing w:before="60" w:beforeAutospacing="0" w:after="0" w:afterAutospacing="0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ОПОРНАЯ СТОЙКА:</w:t>
                            </w:r>
                          </w:p>
                          <w:p w:rsidR="00322C35" w:rsidRPr="00DA33FD" w:rsidRDefault="00322C35" w:rsidP="00322C35">
                            <w:pPr>
                              <w:pStyle w:val="af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выполнена из круглой профильной трубы</w:t>
                            </w:r>
                          </w:p>
                          <w:p w:rsidR="00322C35" w:rsidRPr="00DA33FD" w:rsidRDefault="00322C35" w:rsidP="00322C35">
                            <w:pPr>
                              <w:pStyle w:val="af2"/>
                              <w:spacing w:before="0" w:beforeAutospacing="0" w:after="0" w:afterAutospacing="0"/>
                              <w:ind w:firstLine="709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(диаметр определить проектом);</w:t>
                            </w:r>
                          </w:p>
                          <w:p w:rsidR="00322C35" w:rsidRPr="00DA33FD" w:rsidRDefault="00322C35" w:rsidP="00322C35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допустимая высота </w:t>
                            </w: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опорной стойки от 7 до 20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м;</w:t>
                            </w:r>
                          </w:p>
                          <w:p w:rsidR="00322C35" w:rsidRPr="00B027F2" w:rsidRDefault="00322C35" w:rsidP="00322C35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в</w:t>
                            </w:r>
                            <w:r w:rsidRPr="00B027F2">
                              <w:rPr>
                                <w:rFonts w:ascii="Liberation Serif" w:hAnsi="Liberation Serif" w:cs="Liberation Serif"/>
                              </w:rPr>
                              <w:t xml:space="preserve">нешняя поверхность рекламной конструкции 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br/>
                            </w:r>
                            <w:r w:rsidRPr="00B027F2">
                              <w:rPr>
                                <w:rFonts w:ascii="Liberation Serif" w:hAnsi="Liberation Serif" w:cs="Liberation Serif"/>
                              </w:rPr>
                              <w:t xml:space="preserve">и опоры должна быть окрашена полимерно-порошковым покрытием в цвет 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  <w:t>RAL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 7042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</w:rPr>
                              <w:t xml:space="preserve"> (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>светло-серый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</w:rPr>
                              <w:t>)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>;</w:t>
                            </w:r>
                          </w:p>
                          <w:p w:rsidR="00322C35" w:rsidRDefault="00322C35" w:rsidP="00322C35">
                            <w:pPr>
                              <w:pStyle w:val="af2"/>
                              <w:spacing w:before="60" w:beforeAutospacing="0" w:after="0" w:afterAutospacing="0"/>
                              <w:jc w:val="both"/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ПОДСВЕТКА РЕКЛАМНОЙ КОНСТРУКЦИИ:</w:t>
                            </w:r>
                          </w:p>
                          <w:p w:rsidR="00322C35" w:rsidRPr="00DA33FD" w:rsidRDefault="00322C35" w:rsidP="00322C35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рекламная конструкция должна иметь </w:t>
                            </w:r>
                            <w:r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внутреннее или внешнее </w:t>
                            </w: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освещение</w:t>
                            </w:r>
                          </w:p>
                          <w:p w:rsidR="00322C35" w:rsidRPr="00DA33FD" w:rsidRDefault="00322C35" w:rsidP="00322C35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A4AF" id="Прямоугольник 4" o:spid="_x0000_s1034" style="position:absolute;margin-left:203.6pt;margin-top:1.15pt;width:299.55pt;height:279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" filled="f" stroked="f">
                <v:textbox>
                  <w:txbxContent>
                    <w:p w:rsidR="00322C35" w:rsidRPr="00DA33FD" w:rsidRDefault="00322C35" w:rsidP="00322C35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РАЗМЕРЫ:</w:t>
                      </w:r>
                    </w:p>
                    <w:p w:rsidR="00322C35" w:rsidRPr="00DA33FD" w:rsidRDefault="00322C35" w:rsidP="00322C35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размер информационного поля 5х15 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м</w:t>
                      </w:r>
                    </w:p>
                    <w:p w:rsidR="00322C35" w:rsidRPr="00DA33FD" w:rsidRDefault="00322C35" w:rsidP="00322C35">
                      <w:pPr>
                        <w:pStyle w:val="af2"/>
                        <w:spacing w:before="60" w:beforeAutospacing="0" w:after="0" w:afterAutospacing="0"/>
                        <w:rPr>
                          <w:rFonts w:ascii="Liberation Serif" w:hAnsi="Liberation Serif" w:cs="Liberation Serif"/>
                        </w:rPr>
                      </w:pP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ТЕХНОЛОГИЯ С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МЕНЫ ИЗОБРАЖЕНИЙ:</w:t>
                      </w:r>
                    </w:p>
                    <w:p w:rsidR="00322C35" w:rsidRPr="00A119E6" w:rsidRDefault="00322C35" w:rsidP="00322C35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B027F2">
                        <w:rPr>
                          <w:rFonts w:ascii="Liberation Serif" w:eastAsia="Times New Roman" w:hAnsi="Liberation Serif" w:cs="Liberation Serif"/>
                        </w:rPr>
                        <w:t>скроллер;</w:t>
                      </w:r>
                    </w:p>
                    <w:p w:rsidR="00322C35" w:rsidRPr="00BB79C3" w:rsidRDefault="00322C35" w:rsidP="00322C35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BB79C3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цифро</w:t>
                      </w: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вая технология смены изображения (сторона </w:t>
                      </w: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  <w:lang w:val="en-US"/>
                        </w:rPr>
                        <w:t>B</w:t>
                      </w: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)</w:t>
                      </w:r>
                      <w:r w:rsidRPr="002E671C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;</w:t>
                      </w:r>
                    </w:p>
                    <w:p w:rsidR="00322C35" w:rsidRPr="00B027F2" w:rsidRDefault="00322C35" w:rsidP="00322C35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B027F2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переклейка бумажного постера;</w:t>
                      </w:r>
                    </w:p>
                    <w:p w:rsidR="00322C35" w:rsidRPr="00B027F2" w:rsidRDefault="00322C35" w:rsidP="00322C35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B027F2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натяжение винилового полотна</w:t>
                      </w:r>
                    </w:p>
                    <w:p w:rsidR="00322C35" w:rsidRPr="00DA33FD" w:rsidRDefault="00322C35" w:rsidP="00322C35">
                      <w:pPr>
                        <w:pStyle w:val="af2"/>
                        <w:spacing w:before="60" w:beforeAutospacing="0" w:after="0" w:afterAutospacing="0"/>
                        <w:rPr>
                          <w:rFonts w:ascii="Liberation Serif" w:hAnsi="Liberation Serif" w:cs="Liberation Serif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ОПОРНАЯ СТОЙКА:</w:t>
                      </w:r>
                    </w:p>
                    <w:p w:rsidR="00322C35" w:rsidRPr="00DA33FD" w:rsidRDefault="00322C35" w:rsidP="00322C35">
                      <w:pPr>
                        <w:pStyle w:val="af3"/>
                        <w:numPr>
                          <w:ilvl w:val="0"/>
                          <w:numId w:val="16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выполнена из круглой профильной трубы</w:t>
                      </w:r>
                    </w:p>
                    <w:p w:rsidR="00322C35" w:rsidRPr="00DA33FD" w:rsidRDefault="00322C35" w:rsidP="00322C35">
                      <w:pPr>
                        <w:pStyle w:val="af2"/>
                        <w:spacing w:before="0" w:beforeAutospacing="0" w:after="0" w:afterAutospacing="0"/>
                        <w:ind w:firstLine="709"/>
                        <w:rPr>
                          <w:rFonts w:ascii="Liberation Serif" w:hAnsi="Liberation Serif" w:cs="Liberation Serif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(диаметр определить проектом);</w:t>
                      </w:r>
                    </w:p>
                    <w:p w:rsidR="00322C35" w:rsidRPr="00DA33FD" w:rsidRDefault="00322C35" w:rsidP="00322C35">
                      <w:pPr>
                        <w:pStyle w:val="af3"/>
                        <w:numPr>
                          <w:ilvl w:val="0"/>
                          <w:numId w:val="17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допустимая высота </w:t>
                      </w: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опорной стойки от 7 до 20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м;</w:t>
                      </w:r>
                    </w:p>
                    <w:p w:rsidR="00322C35" w:rsidRPr="00B027F2" w:rsidRDefault="00322C35" w:rsidP="00322C35">
                      <w:pPr>
                        <w:pStyle w:val="af3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>
                        <w:rPr>
                          <w:rFonts w:ascii="Liberation Serif" w:hAnsi="Liberation Serif" w:cs="Liberation Serif"/>
                        </w:rPr>
                        <w:t>в</w:t>
                      </w:r>
                      <w:r w:rsidRPr="00B027F2">
                        <w:rPr>
                          <w:rFonts w:ascii="Liberation Serif" w:hAnsi="Liberation Serif" w:cs="Liberation Serif"/>
                        </w:rPr>
                        <w:t xml:space="preserve">нешняя поверхность рекламной конструкции </w:t>
                      </w:r>
                      <w:r>
                        <w:rPr>
                          <w:rFonts w:ascii="Liberation Serif" w:hAnsi="Liberation Serif" w:cs="Liberation Serif"/>
                        </w:rPr>
                        <w:br/>
                      </w:r>
                      <w:r w:rsidRPr="00B027F2">
                        <w:rPr>
                          <w:rFonts w:ascii="Liberation Serif" w:hAnsi="Liberation Serif" w:cs="Liberation Serif"/>
                        </w:rPr>
                        <w:t xml:space="preserve">и опоры должна быть окрашена полимерно-порошковым покрытием в цвет </w:t>
                      </w:r>
                      <w:r w:rsidRPr="00AF6FCB">
                        <w:rPr>
                          <w:rFonts w:ascii="Liberation Serif" w:hAnsi="Liberation Serif" w:cs="Liberation Serif"/>
                          <w:lang w:val="en-US"/>
                        </w:rPr>
                        <w:t>RAL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 7042</w:t>
                      </w:r>
                      <w:r w:rsidRPr="00AF6FCB">
                        <w:rPr>
                          <w:rFonts w:ascii="Liberation Serif" w:hAnsi="Liberation Serif" w:cs="Liberation Serif"/>
                        </w:rPr>
                        <w:t xml:space="preserve"> (</w:t>
                      </w:r>
                      <w:r>
                        <w:rPr>
                          <w:rFonts w:ascii="Liberation Serif" w:hAnsi="Liberation Serif" w:cs="Liberation Serif"/>
                        </w:rPr>
                        <w:t>светло-серый</w:t>
                      </w:r>
                      <w:r w:rsidRPr="00AF6FCB">
                        <w:rPr>
                          <w:rFonts w:ascii="Liberation Serif" w:hAnsi="Liberation Serif" w:cs="Liberation Serif"/>
                        </w:rPr>
                        <w:t>)</w:t>
                      </w:r>
                      <w:r>
                        <w:rPr>
                          <w:rFonts w:ascii="Liberation Serif" w:hAnsi="Liberation Serif" w:cs="Liberation Serif"/>
                        </w:rPr>
                        <w:t>;</w:t>
                      </w:r>
                    </w:p>
                    <w:p w:rsidR="00322C35" w:rsidRDefault="00322C35" w:rsidP="00322C35">
                      <w:pPr>
                        <w:pStyle w:val="af2"/>
                        <w:spacing w:before="60" w:beforeAutospacing="0" w:after="0" w:afterAutospacing="0"/>
                        <w:jc w:val="both"/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ПОДСВЕТКА РЕКЛАМНОЙ КОНСТРУКЦИИ:</w:t>
                      </w:r>
                    </w:p>
                    <w:p w:rsidR="00322C35" w:rsidRPr="00DA33FD" w:rsidRDefault="00322C35" w:rsidP="00322C35">
                      <w:pPr>
                        <w:pStyle w:val="af3"/>
                        <w:numPr>
                          <w:ilvl w:val="0"/>
                          <w:numId w:val="17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рекламная конструкция должна иметь </w:t>
                      </w:r>
                      <w:r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внутреннее или внешнее </w:t>
                      </w: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освещение</w:t>
                      </w:r>
                    </w:p>
                    <w:p w:rsidR="00322C35" w:rsidRPr="00DA33FD" w:rsidRDefault="00322C35" w:rsidP="00322C35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Liberation Serif" w:hAnsi="Liberation Serif" w:cs="Liberation Serif"/>
          <w:noProof/>
          <w:lang w:val="ru-RU"/>
        </w:rPr>
        <w:drawing>
          <wp:inline distT="0" distB="0" distL="0" distR="0" wp14:anchorId="367B9604" wp14:editId="3E36DF76">
            <wp:extent cx="2103120" cy="1280160"/>
            <wp:effectExtent l="0" t="0" r="0" b="0"/>
            <wp:docPr id="25" name="Рисунок 25" descr="C:\Users\d.solovev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solovev\AppData\Local\Microsoft\Windows\INetCache\Content.Word\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35" w:rsidRDefault="00322C35" w:rsidP="00322C35">
      <w:pPr>
        <w:rPr>
          <w:lang w:val="ru-RU"/>
        </w:rPr>
      </w:pPr>
    </w:p>
    <w:p w:rsidR="00322C35" w:rsidRDefault="00322C35" w:rsidP="00322C35">
      <w:pPr>
        <w:rPr>
          <w:lang w:val="ru-RU"/>
        </w:rPr>
      </w:pPr>
      <w:r w:rsidRPr="00DA33FD">
        <w:rPr>
          <w:rFonts w:ascii="Liberation Serif" w:hAnsi="Liberation Serif" w:cs="Liberation Serif"/>
          <w:noProof/>
          <w:lang w:val="ru-RU"/>
        </w:rPr>
        <w:drawing>
          <wp:anchor distT="0" distB="0" distL="114300" distR="114300" simplePos="0" relativeHeight="251698176" behindDoc="1" locked="0" layoutInCell="1" allowOverlap="1" wp14:anchorId="5A277AB2" wp14:editId="379AEDC9">
            <wp:simplePos x="0" y="0"/>
            <wp:positionH relativeFrom="column">
              <wp:posOffset>594995</wp:posOffset>
            </wp:positionH>
            <wp:positionV relativeFrom="paragraph">
              <wp:posOffset>273050</wp:posOffset>
            </wp:positionV>
            <wp:extent cx="1152525" cy="666750"/>
            <wp:effectExtent l="0" t="0" r="952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2C35" w:rsidRDefault="00322C35" w:rsidP="00322C35">
      <w:pPr>
        <w:rPr>
          <w:lang w:val="ru-RU"/>
        </w:rPr>
      </w:pPr>
    </w:p>
    <w:p w:rsidR="00322C35" w:rsidRDefault="00322C35" w:rsidP="00322C35">
      <w:pPr>
        <w:rPr>
          <w:lang w:val="ru-RU"/>
        </w:rPr>
      </w:pPr>
    </w:p>
    <w:p w:rsidR="00322C35" w:rsidRDefault="00322C35" w:rsidP="00322C35">
      <w:pPr>
        <w:rPr>
          <w:lang w:val="ru-RU"/>
        </w:rPr>
      </w:pPr>
    </w:p>
    <w:p w:rsidR="00322C35" w:rsidRDefault="00322C35" w:rsidP="00322C35">
      <w:pPr>
        <w:rPr>
          <w:lang w:val="ru-RU"/>
        </w:rPr>
      </w:pPr>
    </w:p>
    <w:p w:rsidR="00322C35" w:rsidRDefault="00322C35" w:rsidP="00322C35">
      <w:pPr>
        <w:rPr>
          <w:rFonts w:ascii="Liberation Serif" w:hAnsi="Liberation Serif" w:cs="Liberation Serif"/>
        </w:rPr>
      </w:pPr>
    </w:p>
    <w:p w:rsidR="00322C35" w:rsidRPr="00E3639B" w:rsidRDefault="00322C35" w:rsidP="00322C35">
      <w:pPr>
        <w:rPr>
          <w:lang w:val="ru-RU"/>
        </w:rPr>
      </w:pPr>
    </w:p>
    <w:p w:rsidR="00322C35" w:rsidRDefault="00322C3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322C35" w:rsidSect="002130DE">
      <w:headerReference w:type="default" r:id="rId11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467" w:rsidRDefault="00007467" w:rsidP="00D20943">
      <w:r>
        <w:separator/>
      </w:r>
    </w:p>
  </w:endnote>
  <w:endnote w:type="continuationSeparator" w:id="0">
    <w:p w:rsidR="00007467" w:rsidRDefault="00007467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467" w:rsidRDefault="00007467" w:rsidP="00D20943">
      <w:r>
        <w:separator/>
      </w:r>
    </w:p>
  </w:footnote>
  <w:footnote w:type="continuationSeparator" w:id="0">
    <w:p w:rsidR="00007467" w:rsidRDefault="00007467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322C35" w:rsidRPr="00322C35">
          <w:rPr>
            <w:rFonts w:ascii="Times New Roman" w:hAnsi="Times New Roman" w:cs="Times New Roman"/>
            <w:noProof/>
            <w:lang w:val="ru-RU"/>
          </w:rPr>
          <w:t>9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07467"/>
    <w:rsid w:val="00015FE6"/>
    <w:rsid w:val="00024AF3"/>
    <w:rsid w:val="000318B0"/>
    <w:rsid w:val="00033BED"/>
    <w:rsid w:val="00037D18"/>
    <w:rsid w:val="00041282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2C35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44DA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0A99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3C06"/>
    <w:rsid w:val="00D363A1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24D0-9886-457D-B4ED-A7675C92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Соловьев Даниил Вадимович</cp:lastModifiedBy>
  <cp:revision>2</cp:revision>
  <cp:lastPrinted>2022-03-17T05:50:00Z</cp:lastPrinted>
  <dcterms:created xsi:type="dcterms:W3CDTF">2024-07-26T04:36:00Z</dcterms:created>
  <dcterms:modified xsi:type="dcterms:W3CDTF">2024-07-26T04:36:00Z</dcterms:modified>
</cp:coreProperties>
</file>