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предоставляет </w:t>
      </w:r>
      <w:proofErr w:type="spellStart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proofErr w:type="spellStart"/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proofErr w:type="spellStart"/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proofErr w:type="spellEnd"/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</w:t>
      </w:r>
      <w:proofErr w:type="spellStart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редоставить </w:t>
      </w:r>
      <w:proofErr w:type="spellStart"/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</w:t>
      </w:r>
      <w:proofErr w:type="spellEnd"/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Устанавливать </w:t>
      </w:r>
      <w:proofErr w:type="spellStart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экстендер</w:t>
      </w:r>
      <w:proofErr w:type="spellEnd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и выдается </w:t>
      </w:r>
      <w:proofErr w:type="spellStart"/>
      <w:r w:rsidRPr="009D57C9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proofErr w:type="spellStart"/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оследующие платежи </w:t>
      </w:r>
      <w:proofErr w:type="spellStart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Рекламораспространитель</w:t>
      </w:r>
      <w:proofErr w:type="spellEnd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</w:t>
      </w:r>
      <w:proofErr w:type="spellStart"/>
      <w:r w:rsidR="0084078A" w:rsidRPr="00E61505">
        <w:rPr>
          <w:rFonts w:ascii="Liberation Serif" w:hAnsi="Liberation Serif" w:cs="Liberation Serif"/>
        </w:rPr>
        <w:t>Рекламораспространителю</w:t>
      </w:r>
      <w:proofErr w:type="spellEnd"/>
      <w:r w:rsidR="0084078A" w:rsidRPr="00E61505">
        <w:rPr>
          <w:rFonts w:ascii="Liberation Serif" w:hAnsi="Liberation Serif" w:cs="Liberation Serif"/>
        </w:rPr>
        <w:t xml:space="preserve">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 xml:space="preserve">в соответствии с </w:t>
      </w:r>
      <w:proofErr w:type="spellStart"/>
      <w:r w:rsidR="00432E72" w:rsidRPr="00E61505">
        <w:rPr>
          <w:rFonts w:ascii="Liberation Serif" w:hAnsi="Liberation Serif" w:cs="Liberation Serif"/>
          <w:lang w:val="ru-RU"/>
        </w:rPr>
        <w:t>абз</w:t>
      </w:r>
      <w:proofErr w:type="spellEnd"/>
      <w:r w:rsidR="00432E72" w:rsidRPr="00E61505">
        <w:rPr>
          <w:rFonts w:ascii="Liberation Serif" w:hAnsi="Liberation Serif" w:cs="Liberation Serif"/>
          <w:lang w:val="ru-RU"/>
        </w:rPr>
        <w:t>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proofErr w:type="spellStart"/>
      <w:r w:rsidR="007B04EB" w:rsidRPr="00E61505">
        <w:rPr>
          <w:rFonts w:ascii="Liberation Serif" w:hAnsi="Liberation Serif" w:cs="Liberation Serif"/>
          <w:lang w:val="ru-RU"/>
        </w:rPr>
        <w:t>Рекламораспространителю</w:t>
      </w:r>
      <w:proofErr w:type="spellEnd"/>
      <w:r w:rsidR="007B04EB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5.1. В случае нарушения сроков внесения платы за установку и эксплуатацию рекламной конструкции, предусмотренных пунктом 3.2 настоящего Договора,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задаток, внесенный </w:t>
      </w:r>
      <w:proofErr w:type="spellStart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расторжения Договора по инициативе </w:t>
      </w:r>
      <w:proofErr w:type="spellStart"/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</w:t>
      </w:r>
      <w:proofErr w:type="spellStart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</w:t>
      </w:r>
      <w:proofErr w:type="spellStart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Рекламораспространителя</w:t>
      </w:r>
      <w:proofErr w:type="spellEnd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 xml:space="preserve">- неисполнения или ненадлежащего исполнения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proofErr w:type="spellStart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5F3656" w:rsidRPr="00E86184" w:rsidRDefault="005F3656" w:rsidP="00583B93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5F3656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Default="00641132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Pr="00CE3210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ВНЕШНЕМУ ВИДУ </w:t>
      </w:r>
      <w:r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«БИЛБОРД»</w:t>
      </w:r>
      <w:r>
        <w:rPr>
          <w:rFonts w:ascii="Liberation Serif" w:hAnsi="Liberation Serif" w:cs="Liberation Serif"/>
          <w:b/>
        </w:rPr>
        <w:t xml:space="preserve"> </w:t>
      </w:r>
      <w:r w:rsidRPr="00737472">
        <w:rPr>
          <w:rFonts w:ascii="Liberation Serif" w:hAnsi="Liberation Serif" w:cs="Liberation Serif"/>
          <w:b/>
        </w:rPr>
        <w:t>(</w:t>
      </w:r>
      <w:r>
        <w:rPr>
          <w:rFonts w:ascii="Liberation Serif" w:hAnsi="Liberation Serif" w:cs="Liberation Serif"/>
          <w:b/>
        </w:rPr>
        <w:t>место №</w:t>
      </w:r>
      <w:r w:rsidRPr="00CE3210">
        <w:rPr>
          <w:rFonts w:ascii="Liberation Serif" w:hAnsi="Liberation Serif" w:cs="Liberation Serif"/>
          <w:b/>
        </w:rPr>
        <w:t xml:space="preserve"> </w:t>
      </w:r>
      <w:r w:rsidR="000B5A1B" w:rsidRPr="000B5A1B">
        <w:rPr>
          <w:rFonts w:ascii="Liberation Serif" w:hAnsi="Liberation Serif" w:cs="Liberation Serif"/>
          <w:b/>
        </w:rPr>
        <w:t>0507710</w:t>
      </w:r>
      <w:r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ГОСТ Р;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 размером 3x6 м, 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 или внутренним подсветом. Рекламная конструкция должна иметь маркировку </w:t>
      </w:r>
      <w:r w:rsidRPr="00AF6FCB">
        <w:rPr>
          <w:rFonts w:ascii="Liberation Serif" w:hAnsi="Liberation Serif" w:cs="Liberation Serif"/>
        </w:rPr>
        <w:br/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прямоугольного </w:t>
      </w:r>
      <w:r>
        <w:rPr>
          <w:rFonts w:ascii="Liberation Serif" w:hAnsi="Liberation Serif" w:cs="Liberation Serif"/>
        </w:rPr>
        <w:t xml:space="preserve">или круглого </w:t>
      </w:r>
      <w:r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>
        <w:rPr>
          <w:rFonts w:ascii="Liberation Serif" w:hAnsi="Liberation Serif" w:cs="Liberation Serif"/>
        </w:rPr>
        <w:br/>
      </w:r>
      <w:r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8176" behindDoc="1" locked="0" layoutInCell="1" allowOverlap="1" wp14:anchorId="62CF530F" wp14:editId="46B251F9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41FF8A09" wp14:editId="035F472D">
            <wp:extent cx="2847975" cy="238857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стойка: прямоугольная профильная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150</w:t>
      </w:r>
      <w:r w:rsidR="001331ED">
        <w:rPr>
          <w:rFonts w:ascii="Liberation Serif" w:hAnsi="Liberation Serif" w:cs="Liberation Serif"/>
        </w:rPr>
        <w:t xml:space="preserve"> мм до 750</w:t>
      </w:r>
      <w:r w:rsidRPr="00AF6FCB">
        <w:rPr>
          <w:rFonts w:ascii="Liberation Serif" w:hAnsi="Liberation Serif" w:cs="Liberation Serif"/>
        </w:rPr>
        <w:t>мм)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Фундамент: заглубляемый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опорной стойки: от 4000 мм до 5000</w:t>
      </w:r>
      <w:r>
        <w:rPr>
          <w:rFonts w:ascii="Liberation Serif" w:hAnsi="Liberation Serif" w:cs="Liberation Serif"/>
        </w:rPr>
        <w:t xml:space="preserve"> мм </w:t>
      </w:r>
      <w:r w:rsidRPr="00AF6FCB">
        <w:rPr>
          <w:rFonts w:ascii="Liberation Serif" w:hAnsi="Liberation Serif" w:cs="Liberation Serif"/>
        </w:rPr>
        <w:t>Облицовка: пластик или композитный материал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 xml:space="preserve">Освещение: внутренняя или внешняя подсветка </w:t>
      </w:r>
    </w:p>
    <w:p w:rsidR="00464F94" w:rsidRDefault="00464F94" w:rsidP="00464F94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Технология смены изображения:        </w:t>
      </w:r>
      <w:proofErr w:type="spellStart"/>
      <w:r>
        <w:rPr>
          <w:rFonts w:ascii="Liberation Serif" w:hAnsi="Liberation Serif" w:cs="Liberation Serif"/>
        </w:rPr>
        <w:t>многоформатная</w:t>
      </w:r>
      <w:proofErr w:type="spellEnd"/>
      <w:r>
        <w:rPr>
          <w:rFonts w:ascii="Liberation Serif" w:hAnsi="Liberation Serif" w:cs="Liberation Serif"/>
        </w:rPr>
        <w:t xml:space="preserve">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предусматривающая применение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различных технологий смены изображения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bookmarkStart w:id="4" w:name="_GoBack"/>
      <w:bookmarkEnd w:id="4"/>
      <w:r w:rsidRPr="00AF6FCB">
        <w:rPr>
          <w:rFonts w:ascii="Liberation Serif" w:hAnsi="Liberation Serif" w:cs="Liberation Serif"/>
        </w:rPr>
        <w:t xml:space="preserve">Каркас: металлический швеллер 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Цвет конструкции: </w:t>
      </w:r>
      <w:r w:rsidRPr="00AF6FCB">
        <w:rPr>
          <w:rFonts w:ascii="Liberation Serif" w:hAnsi="Liberation Serif" w:cs="Liberation Serif"/>
          <w:lang w:val="en-US"/>
        </w:rPr>
        <w:t>RAL</w:t>
      </w:r>
      <w:r w:rsidRPr="00AF6FCB">
        <w:rPr>
          <w:rFonts w:ascii="Liberation Serif" w:hAnsi="Liberation Serif" w:cs="Liberation Serif"/>
        </w:rPr>
        <w:t xml:space="preserve"> 7024 (</w:t>
      </w:r>
      <w:proofErr w:type="spellStart"/>
      <w:r w:rsidRPr="00AF6FCB">
        <w:rPr>
          <w:rFonts w:ascii="Liberation Serif" w:hAnsi="Liberation Serif" w:cs="Liberation Serif"/>
        </w:rPr>
        <w:t>графитно</w:t>
      </w:r>
      <w:proofErr w:type="spellEnd"/>
      <w:r w:rsidRPr="00AF6FCB">
        <w:rPr>
          <w:rFonts w:ascii="Liberation Serif" w:hAnsi="Liberation Serif" w:cs="Liberation Serif"/>
        </w:rPr>
        <w:t>-серый)</w:t>
      </w:r>
    </w:p>
    <w:p w:rsidR="00641132" w:rsidRPr="00AF6FCB" w:rsidRDefault="00641132" w:rsidP="00641132">
      <w:pPr>
        <w:rPr>
          <w:rFonts w:ascii="Liberation Serif" w:hAnsi="Liberation Serif" w:cs="Liberation Serif"/>
          <w:b/>
        </w:rPr>
      </w:pPr>
    </w:p>
    <w:p w:rsidR="00641132" w:rsidRDefault="00641132" w:rsidP="00641132">
      <w:pPr>
        <w:jc w:val="center"/>
        <w:rPr>
          <w:rFonts w:ascii="Liberation Serif" w:hAnsi="Liberation Serif" w:cs="Liberation Serif"/>
          <w:b/>
        </w:rPr>
      </w:pPr>
    </w:p>
    <w:p w:rsidR="000B51A5" w:rsidRDefault="000B51A5" w:rsidP="00641132">
      <w:pPr>
        <w:jc w:val="center"/>
        <w:rPr>
          <w:rFonts w:ascii="Liberation Serif" w:hAnsi="Liberation Serif" w:cs="Liberation Serif"/>
          <w:b/>
        </w:rPr>
      </w:pPr>
    </w:p>
    <w:p w:rsidR="00641132" w:rsidRPr="00AF6FCB" w:rsidRDefault="00641132" w:rsidP="00641132">
      <w:pPr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>Требования к маркировке рекламных конструкций: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9200" behindDoc="1" locked="0" layoutInCell="1" allowOverlap="1" wp14:anchorId="793A3CE5" wp14:editId="4A3F1C32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72297F81" wp14:editId="3D0D73CC">
            <wp:extent cx="3952875" cy="24435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4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641132" w:rsidRPr="00AF6FCB" w:rsidTr="0082594C">
        <w:trPr>
          <w:trHeight w:val="558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Строчные – 63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конструкции, согласно реестру выданных разрешений, должна располагаться со стороны проезжей части: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p w:rsidR="001C5F5C" w:rsidRDefault="001C5F5C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sectPr w:rsidR="001C5F5C" w:rsidSect="002130DE">
      <w:headerReference w:type="default" r:id="rId13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B0" w:rsidRDefault="000F5CB0" w:rsidP="00D20943">
      <w:r>
        <w:separator/>
      </w:r>
    </w:p>
  </w:endnote>
  <w:endnote w:type="continuationSeparator" w:id="0">
    <w:p w:rsidR="000F5CB0" w:rsidRDefault="000F5CB0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B0" w:rsidRDefault="000F5CB0" w:rsidP="00D20943">
      <w:r>
        <w:separator/>
      </w:r>
    </w:p>
  </w:footnote>
  <w:footnote w:type="continuationSeparator" w:id="0">
    <w:p w:rsidR="000F5CB0" w:rsidRDefault="000F5CB0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464F94" w:rsidRPr="00464F94">
          <w:rPr>
            <w:rFonts w:ascii="Times New Roman" w:hAnsi="Times New Roman" w:cs="Times New Roman"/>
            <w:noProof/>
            <w:lang w:val="ru-RU"/>
          </w:rPr>
          <w:t>8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318B0"/>
    <w:rsid w:val="00033BED"/>
    <w:rsid w:val="00037D18"/>
    <w:rsid w:val="00041282"/>
    <w:rsid w:val="00054AD8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B5A1B"/>
    <w:rsid w:val="000C1262"/>
    <w:rsid w:val="000C40A8"/>
    <w:rsid w:val="000C4E67"/>
    <w:rsid w:val="000D71CF"/>
    <w:rsid w:val="000F5CB0"/>
    <w:rsid w:val="000F6168"/>
    <w:rsid w:val="000F71C6"/>
    <w:rsid w:val="00112869"/>
    <w:rsid w:val="00116CFF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475"/>
    <w:rsid w:val="001B2F5C"/>
    <w:rsid w:val="001B763F"/>
    <w:rsid w:val="001C0D4E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1B9E"/>
    <w:rsid w:val="00423E4B"/>
    <w:rsid w:val="00426C70"/>
    <w:rsid w:val="00427887"/>
    <w:rsid w:val="00432E72"/>
    <w:rsid w:val="00437557"/>
    <w:rsid w:val="00444A48"/>
    <w:rsid w:val="00445481"/>
    <w:rsid w:val="004509DE"/>
    <w:rsid w:val="00452677"/>
    <w:rsid w:val="00460799"/>
    <w:rsid w:val="00464F94"/>
    <w:rsid w:val="00466DBB"/>
    <w:rsid w:val="00466E39"/>
    <w:rsid w:val="004733D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44F0"/>
    <w:rsid w:val="006B5DAA"/>
    <w:rsid w:val="006C5E1F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5529A"/>
    <w:rsid w:val="00763F1E"/>
    <w:rsid w:val="0078161E"/>
    <w:rsid w:val="00787B74"/>
    <w:rsid w:val="00795DF7"/>
    <w:rsid w:val="0079680B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87E09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64E83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36219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277F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7EEB7-8FFE-44CB-91E0-E3004BE7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3955</Words>
  <Characters>22549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3</cp:revision>
  <cp:lastPrinted>2022-03-17T05:50:00Z</cp:lastPrinted>
  <dcterms:created xsi:type="dcterms:W3CDTF">2025-07-02T11:48:00Z</dcterms:created>
  <dcterms:modified xsi:type="dcterms:W3CDTF">2025-07-14T06:25:00Z</dcterms:modified>
</cp:coreProperties>
</file>