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52436F" w:rsidRPr="0052436F">
        <w:rPr>
          <w:rFonts w:ascii="Liberation Serif" w:hAnsi="Liberation Serif" w:cs="Liberation Serif"/>
          <w:b/>
        </w:rPr>
        <w:t>0607676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81A2D" w:rsidRDefault="00641132" w:rsidP="00681A2D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color w:val="auto"/>
          <w:lang w:val="ru-RU" w:eastAsia="en-US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                       </w:t>
      </w:r>
      <w:r>
        <w:rPr>
          <w:rFonts w:ascii="Liberation Serif" w:hAnsi="Liberation Serif" w:cs="Liberation Serif"/>
        </w:rPr>
        <w:t xml:space="preserve">  </w:t>
      </w:r>
      <w:r w:rsidR="00681A2D">
        <w:rPr>
          <w:rFonts w:ascii="Liberation Serif" w:eastAsiaTheme="minorHAnsi" w:hAnsi="Liberation Serif" w:cs="Liberation Serif"/>
          <w:color w:val="auto"/>
          <w:lang w:val="ru-RU" w:eastAsia="en-US"/>
        </w:rPr>
        <w:t>с помо</w:t>
      </w:r>
      <w:r w:rsidR="00681A2D">
        <w:rPr>
          <w:rFonts w:ascii="Liberation Serif" w:eastAsiaTheme="minorHAnsi" w:hAnsi="Liberation Serif" w:cs="Liberation Serif"/>
          <w:color w:val="auto"/>
          <w:lang w:val="ru-RU" w:eastAsia="en-US"/>
        </w:rPr>
        <w:t>щью неподвижных полиграфических</w:t>
      </w:r>
      <w:r w:rsidR="00681A2D">
        <w:rPr>
          <w:rFonts w:ascii="Liberation Serif" w:eastAsiaTheme="minorHAnsi" w:hAnsi="Liberation Serif" w:cs="Liberation Serif"/>
          <w:color w:val="auto"/>
          <w:lang w:val="ru-RU" w:eastAsia="en-US"/>
        </w:rPr>
        <w:br/>
        <w:t xml:space="preserve">                                                                                   </w:t>
      </w:r>
      <w:r w:rsidR="00681A2D">
        <w:rPr>
          <w:rFonts w:ascii="Liberation Serif" w:eastAsiaTheme="minorHAnsi" w:hAnsi="Liberation Serif" w:cs="Liberation Serif"/>
          <w:color w:val="auto"/>
          <w:lang w:val="ru-RU" w:eastAsia="en-US"/>
        </w:rPr>
        <w:t>постеров (бумага, винил и др.)</w:t>
      </w:r>
    </w:p>
    <w:p w:rsidR="00641132" w:rsidRPr="00AF6FCB" w:rsidRDefault="00641132" w:rsidP="00681A2D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81A2D" w:rsidRDefault="00681A2D" w:rsidP="00641132">
      <w:pPr>
        <w:jc w:val="center"/>
        <w:rPr>
          <w:rFonts w:ascii="Liberation Serif" w:hAnsi="Liberation Serif" w:cs="Liberation Serif"/>
          <w:b/>
        </w:rPr>
      </w:pPr>
    </w:p>
    <w:p w:rsidR="00681A2D" w:rsidRDefault="00681A2D" w:rsidP="00641132">
      <w:pPr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8F" w:rsidRDefault="00BD4B8F" w:rsidP="00D20943">
      <w:r>
        <w:separator/>
      </w:r>
    </w:p>
  </w:endnote>
  <w:endnote w:type="continuationSeparator" w:id="0">
    <w:p w:rsidR="00BD4B8F" w:rsidRDefault="00BD4B8F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8F" w:rsidRDefault="00BD4B8F" w:rsidP="00D20943">
      <w:r>
        <w:separator/>
      </w:r>
    </w:p>
  </w:footnote>
  <w:footnote w:type="continuationSeparator" w:id="0">
    <w:p w:rsidR="00BD4B8F" w:rsidRDefault="00BD4B8F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681A2D" w:rsidRPr="00681A2D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468F2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2436F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81A2D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4D1A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34BB6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4B8F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43625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4144-FDB5-4807-BDDB-BF72AE95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4</cp:revision>
  <cp:lastPrinted>2022-03-17T05:50:00Z</cp:lastPrinted>
  <dcterms:created xsi:type="dcterms:W3CDTF">2025-04-25T11:41:00Z</dcterms:created>
  <dcterms:modified xsi:type="dcterms:W3CDTF">2025-07-14T06:27:00Z</dcterms:modified>
</cp:coreProperties>
</file>