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95DE3" w:rsidRPr="00E61505" w:rsidRDefault="00395DE3" w:rsidP="00395D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395DE3" w:rsidRPr="00E61505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Pr="00E61505" w:rsidRDefault="00395DE3" w:rsidP="00395DE3">
      <w:pPr>
        <w:spacing w:line="360" w:lineRule="auto"/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Счет: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БИК: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ИНН:</w:t>
            </w: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 w:hanging="33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65701000</w:t>
            </w:r>
          </w:p>
        </w:tc>
      </w:tr>
      <w:tr w:rsidR="00395DE3" w:rsidRPr="00E61505" w:rsidTr="003B79D7">
        <w:tc>
          <w:tcPr>
            <w:tcW w:w="2694" w:type="dxa"/>
            <w:hideMark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  <w:r w:rsidRPr="00E61505">
              <w:rPr>
                <w:rFonts w:ascii="Liberation Serif" w:hAnsi="Liberation Serif" w:cs="Liberation Serif"/>
              </w:rPr>
              <w:t>01011705020020000180</w:t>
            </w:r>
          </w:p>
          <w:p w:rsidR="00395DE3" w:rsidRPr="00E61505" w:rsidRDefault="00395DE3" w:rsidP="003B79D7">
            <w:pPr>
              <w:ind w:left="742"/>
              <w:rPr>
                <w:rFonts w:ascii="Liberation Serif" w:hAnsi="Liberation Serif" w:cs="Liberation Serif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E61505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Р/с:</w:t>
                        </w: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61505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61505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61505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E61505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F4647" w:rsidRPr="00E61505" w:rsidRDefault="00FC7BA8">
      <w:pPr>
        <w:rPr>
          <w:rFonts w:ascii="Liberation Serif" w:hAnsi="Liberation Serif" w:cs="Liberation Serif"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5907D3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40C3C" w:rsidRPr="005907D3" w:rsidRDefault="00240C3C" w:rsidP="00240C3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907D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</w:p>
    <w:p w:rsidR="00240C3C" w:rsidRPr="005907D3" w:rsidRDefault="00240C3C" w:rsidP="00240C3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>- национальным стандартам ГОСТ Р;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>- другим документам и правовым актам.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5907D3">
        <w:rPr>
          <w:rFonts w:ascii="Liberation Serif" w:hAnsi="Liberation Serif" w:cs="Liberation Serif"/>
        </w:rPr>
        <w:br/>
        <w:t xml:space="preserve">с двух сторон в створке. </w:t>
      </w:r>
      <w:r w:rsidR="005907D3" w:rsidRPr="005907D3">
        <w:rPr>
          <w:rFonts w:ascii="Liberation Serif" w:hAnsi="Liberation Serif" w:cs="Liberation Serif"/>
        </w:rPr>
        <w:t xml:space="preserve">Рекламная конструкция должна иметь маркировку </w:t>
      </w:r>
      <w:r w:rsidR="005907D3" w:rsidRPr="005907D3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</w:t>
      </w:r>
      <w:bookmarkStart w:id="4" w:name="_GoBack"/>
      <w:bookmarkEnd w:id="4"/>
      <w:r w:rsidR="005907D3" w:rsidRPr="005907D3">
        <w:rPr>
          <w:rFonts w:ascii="Liberation Serif" w:hAnsi="Liberation Serif" w:cs="Liberation Serif"/>
        </w:rPr>
        <w:t xml:space="preserve">Опорная часть представлена металлической конструкцией прямоугольного сечения. Фундамент должен быть заглублен. </w:t>
      </w:r>
      <w:r w:rsidR="005907D3" w:rsidRPr="005907D3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  <w:r w:rsidRPr="005907D3">
        <w:rPr>
          <w:rFonts w:ascii="Liberation Serif" w:hAnsi="Liberation Serif" w:cs="Liberation Serif"/>
        </w:rPr>
        <w:t xml:space="preserve">. 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240C3C" w:rsidRPr="005907D3" w:rsidRDefault="00240C3C" w:rsidP="00240C3C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6F0E058" wp14:editId="51DB508E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0C3C" w:rsidRPr="005907D3" w:rsidRDefault="00240C3C" w:rsidP="00240C3C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240C3C" w:rsidRPr="005907D3" w:rsidRDefault="00240C3C" w:rsidP="00240C3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СМЕНЫ ИЗОБРАЖЕНИЯ: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многоформатная, </w:t>
                            </w:r>
                            <w:r w:rsidRPr="005907D3">
                              <w:rPr>
                                <w:rFonts w:ascii="Liberation Serif" w:hAnsi="Liberation Serif" w:cs="Liberation Serif"/>
                              </w:rPr>
                              <w:t>предусматривающая применение различных технологий смены изображения</w:t>
                            </w:r>
                          </w:p>
                          <w:p w:rsidR="00240C3C" w:rsidRPr="005907D3" w:rsidRDefault="00240C3C" w:rsidP="00240C3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240C3C" w:rsidRPr="005907D3" w:rsidRDefault="00FC7BA8" w:rsidP="00240C3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</w:rPr>
                              <w:t xml:space="preserve">должна быть окрашена полимерно-порошковым покрытием в графитно-серый цвет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(</w:t>
                            </w:r>
                            <w:r w:rsidRPr="005907D3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7024</w:t>
                            </w:r>
                            <w:r w:rsidRPr="005907D3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240C3C" w:rsidRPr="005907D3" w:rsidRDefault="00240C3C" w:rsidP="00240C3C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240C3C" w:rsidRPr="005907D3" w:rsidRDefault="00240C3C" w:rsidP="00240C3C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5907D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E058" id="Прямоугольник 4" o:spid="_x0000_s1034" style="position:absolute;left:0;text-align:left;margin-left:166.4pt;margin-top:11.75pt;width:301.25pt;height:301.1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H+zpxO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240C3C" w:rsidRPr="005907D3" w:rsidRDefault="00240C3C" w:rsidP="00240C3C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240C3C" w:rsidRPr="005907D3" w:rsidRDefault="00240C3C" w:rsidP="00240C3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СМЕНЫ ИЗОБРАЖЕНИЯ: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многоформатная, </w:t>
                      </w:r>
                      <w:r w:rsidRPr="005907D3">
                        <w:rPr>
                          <w:rFonts w:ascii="Liberation Serif" w:hAnsi="Liberation Serif" w:cs="Liberation Serif"/>
                        </w:rPr>
                        <w:t>предусматривающая применение различных технологий смены изображения</w:t>
                      </w:r>
                    </w:p>
                    <w:p w:rsidR="00240C3C" w:rsidRPr="005907D3" w:rsidRDefault="00240C3C" w:rsidP="00240C3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240C3C" w:rsidRPr="005907D3" w:rsidRDefault="00FC7BA8" w:rsidP="00240C3C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</w:rPr>
                        <w:t xml:space="preserve">должна быть окрашена полимерно-порошковым покрытием в графитно-серый цвет </w:t>
                      </w:r>
                      <w:r>
                        <w:rPr>
                          <w:rFonts w:ascii="Liberation Serif" w:hAnsi="Liberation Serif" w:cs="Liberation Serif"/>
                        </w:rPr>
                        <w:t>(</w:t>
                      </w:r>
                      <w:r w:rsidRPr="005907D3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7024</w:t>
                      </w:r>
                      <w:r w:rsidRPr="005907D3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240C3C" w:rsidRPr="005907D3" w:rsidRDefault="00240C3C" w:rsidP="00240C3C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240C3C" w:rsidRPr="005907D3" w:rsidRDefault="00240C3C" w:rsidP="00240C3C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5907D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0C3C" w:rsidRPr="005907D3" w:rsidRDefault="00240C3C" w:rsidP="00240C3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  <w:noProof/>
        </w:rPr>
        <w:drawing>
          <wp:inline distT="0" distB="0" distL="0" distR="0" wp14:anchorId="65AE4774" wp14:editId="69F80E3F">
            <wp:extent cx="1733107" cy="3082411"/>
            <wp:effectExtent l="0" t="0" r="63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3C" w:rsidRPr="005907D3" w:rsidRDefault="00240C3C" w:rsidP="00240C3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2F1392" w:rsidRPr="005907D3" w:rsidRDefault="00240C3C" w:rsidP="00240C3C">
      <w:pPr>
        <w:pStyle w:val="af2"/>
        <w:spacing w:before="4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907D3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полимерно-порошковым покрытием в </w:t>
      </w:r>
      <w:r w:rsidR="00FC7BA8" w:rsidRPr="005907D3">
        <w:rPr>
          <w:rFonts w:ascii="Liberation Serif" w:hAnsi="Liberation Serif" w:cs="Liberation Serif"/>
        </w:rPr>
        <w:t>графитно-серый</w:t>
      </w:r>
      <w:r w:rsidR="00FC7BA8" w:rsidRPr="005907D3">
        <w:rPr>
          <w:rFonts w:ascii="Liberation Serif" w:hAnsi="Liberation Serif" w:cs="Liberation Serif"/>
        </w:rPr>
        <w:t xml:space="preserve"> </w:t>
      </w:r>
      <w:r w:rsidRPr="005907D3">
        <w:rPr>
          <w:rFonts w:ascii="Liberation Serif" w:hAnsi="Liberation Serif" w:cs="Liberation Serif"/>
        </w:rPr>
        <w:t xml:space="preserve">цвет </w:t>
      </w:r>
      <w:r w:rsidR="00FC7BA8">
        <w:rPr>
          <w:rFonts w:ascii="Liberation Serif" w:hAnsi="Liberation Serif" w:cs="Liberation Serif"/>
        </w:rPr>
        <w:t>(</w:t>
      </w:r>
      <w:r w:rsidR="005907D3" w:rsidRPr="005907D3">
        <w:rPr>
          <w:rFonts w:ascii="Liberation Serif" w:hAnsi="Liberation Serif" w:cs="Liberation Serif"/>
          <w:lang w:val="en-US"/>
        </w:rPr>
        <w:t>RAL</w:t>
      </w:r>
      <w:r w:rsidR="00FC7BA8">
        <w:rPr>
          <w:rFonts w:ascii="Liberation Serif" w:hAnsi="Liberation Serif" w:cs="Liberation Serif"/>
        </w:rPr>
        <w:t xml:space="preserve"> 7024</w:t>
      </w:r>
      <w:r w:rsidR="005907D3" w:rsidRPr="005907D3">
        <w:rPr>
          <w:rFonts w:ascii="Liberation Serif" w:hAnsi="Liberation Serif" w:cs="Liberation Serif"/>
        </w:rPr>
        <w:t>)</w:t>
      </w:r>
      <w:r w:rsidRPr="005907D3">
        <w:rPr>
          <w:rFonts w:ascii="Liberation Serif" w:hAnsi="Liberation Serif" w:cs="Liberation Serif"/>
        </w:rPr>
        <w:t xml:space="preserve">. Цветовое решение должно быть выбрано согласно </w:t>
      </w:r>
      <w:proofErr w:type="gramStart"/>
      <w:r w:rsidR="00FC7BA8" w:rsidRPr="005907D3">
        <w:rPr>
          <w:rFonts w:ascii="Liberation Serif" w:hAnsi="Liberation Serif" w:cs="Liberation Serif"/>
        </w:rPr>
        <w:t>Концепции оформления и разме</w:t>
      </w:r>
      <w:r w:rsidR="00FC7BA8">
        <w:rPr>
          <w:rFonts w:ascii="Liberation Serif" w:hAnsi="Liberation Serif" w:cs="Liberation Serif"/>
        </w:rPr>
        <w:t>щения объектов наружной рекламы</w:t>
      </w:r>
      <w:proofErr w:type="gramEnd"/>
      <w:r w:rsidR="005907D3" w:rsidRPr="005907D3">
        <w:rPr>
          <w:rFonts w:ascii="Liberation Serif" w:hAnsi="Liberation Serif" w:cs="Liberation Serif"/>
        </w:rPr>
        <w:t xml:space="preserve"> </w:t>
      </w:r>
      <w:r w:rsidRPr="005907D3">
        <w:rPr>
          <w:rFonts w:ascii="Liberation Serif" w:hAnsi="Liberation Serif" w:cs="Liberation Serif"/>
        </w:rPr>
        <w:t xml:space="preserve">на территории Свердловской области, разработанной Министерством </w:t>
      </w:r>
      <w:r w:rsidR="00FC7BA8">
        <w:rPr>
          <w:rFonts w:ascii="Liberation Serif" w:hAnsi="Liberation Serif" w:cs="Liberation Serif"/>
        </w:rPr>
        <w:br/>
      </w:r>
      <w:r w:rsidRPr="005907D3">
        <w:rPr>
          <w:rFonts w:ascii="Liberation Serif" w:hAnsi="Liberation Serif" w:cs="Liberation Serif"/>
        </w:rPr>
        <w:t xml:space="preserve">по управлению государственным имуществом Свердловской области и одобренной </w:t>
      </w:r>
      <w:r w:rsidR="00FC7BA8">
        <w:rPr>
          <w:rFonts w:ascii="Liberation Serif" w:hAnsi="Liberation Serif" w:cs="Liberation Serif"/>
        </w:rPr>
        <w:br/>
      </w:r>
      <w:r w:rsidRPr="005907D3">
        <w:rPr>
          <w:rFonts w:ascii="Liberation Serif" w:hAnsi="Liberation Serif" w:cs="Liberation Serif"/>
        </w:rPr>
        <w:t>на президиуме Правительства Свердловской области (протокол от 16.08.2016 № 4-ПЗП)</w:t>
      </w:r>
    </w:p>
    <w:sectPr w:rsidR="002F1392" w:rsidRPr="005907D3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EF" w:rsidRDefault="00D11CEF" w:rsidP="00D20943">
      <w:r>
        <w:separator/>
      </w:r>
    </w:p>
  </w:endnote>
  <w:endnote w:type="continuationSeparator" w:id="0">
    <w:p w:rsidR="00D11CEF" w:rsidRDefault="00D11CE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EF" w:rsidRDefault="00D11CEF" w:rsidP="00D20943">
      <w:r>
        <w:separator/>
      </w:r>
    </w:p>
  </w:footnote>
  <w:footnote w:type="continuationSeparator" w:id="0">
    <w:p w:rsidR="00D11CEF" w:rsidRDefault="00D11CE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FC7BA8" w:rsidRPr="00FC7BA8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40C3C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7D3"/>
    <w:rsid w:val="005913A7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2F08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22109"/>
    <w:rsid w:val="00E23489"/>
    <w:rsid w:val="00E50935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C7BA8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2018-10-23T10:05:00Z</cp:lastPrinted>
  <dcterms:created xsi:type="dcterms:W3CDTF">2019-10-21T08:25:00Z</dcterms:created>
  <dcterms:modified xsi:type="dcterms:W3CDTF">2019-10-21T08:58:00Z</dcterms:modified>
</cp:coreProperties>
</file>