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88FAFF6" wp14:editId="7B5E36B9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468C" wp14:editId="36AD661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</w:t>
      </w:r>
      <w:r w:rsidR="005026E4">
        <w:rPr>
          <w:b/>
        </w:rPr>
        <w:t>ОЙ</w:t>
      </w:r>
      <w:r>
        <w:rPr>
          <w:b/>
        </w:rPr>
        <w:t xml:space="preserve"> КОНСТРУКЦИ</w:t>
      </w:r>
      <w:r w:rsidR="005026E4">
        <w:rPr>
          <w:b/>
        </w:rPr>
        <w:t>И</w:t>
      </w:r>
      <w:r>
        <w:rPr>
          <w:b/>
        </w:rPr>
        <w:t xml:space="preserve"> «</w:t>
      </w:r>
      <w:r w:rsidR="005026E4">
        <w:rPr>
          <w:b/>
        </w:rPr>
        <w:t>ВИДЕОЭКРАН</w:t>
      </w:r>
      <w:r>
        <w:rPr>
          <w:b/>
        </w:rPr>
        <w:t>»</w:t>
      </w:r>
    </w:p>
    <w:p w:rsidR="00C90345" w:rsidRDefault="00C90345" w:rsidP="00EC35A1">
      <w:pPr>
        <w:pStyle w:val="a3"/>
        <w:spacing w:before="40" w:beforeAutospacing="0" w:after="0" w:afterAutospacing="0"/>
        <w:jc w:val="both"/>
      </w:pPr>
    </w:p>
    <w:p w:rsidR="00C90345" w:rsidRDefault="008178A4" w:rsidP="00677E4C">
      <w:pPr>
        <w:pStyle w:val="a3"/>
        <w:spacing w:before="4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677E4C">
      <w:pPr>
        <w:pStyle w:val="a3"/>
        <w:spacing w:before="4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677E4C">
      <w:pPr>
        <w:pStyle w:val="a3"/>
        <w:spacing w:before="4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677E4C">
      <w:pPr>
        <w:pStyle w:val="a3"/>
        <w:spacing w:before="4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677E4C">
      <w:pPr>
        <w:pStyle w:val="a3"/>
        <w:spacing w:before="4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C90345" w:rsidP="00677E4C">
      <w:pPr>
        <w:pStyle w:val="a3"/>
        <w:spacing w:before="40" w:beforeAutospacing="0" w:after="0" w:afterAutospacing="0"/>
        <w:ind w:firstLine="709"/>
        <w:jc w:val="both"/>
      </w:pPr>
      <w:r>
        <w:t xml:space="preserve">- другим </w:t>
      </w:r>
      <w:r w:rsidR="00841F05">
        <w:t>документам и правовым актам.</w:t>
      </w:r>
    </w:p>
    <w:p w:rsidR="00677E4C" w:rsidRDefault="002611DB" w:rsidP="00677E4C">
      <w:pPr>
        <w:pStyle w:val="a3"/>
        <w:spacing w:before="40" w:beforeAutospacing="0" w:after="0" w:afterAutospacing="0"/>
        <w:ind w:firstLine="709"/>
        <w:jc w:val="both"/>
      </w:pPr>
      <w:r>
        <w:t xml:space="preserve">2. Конструкция должна иметь </w:t>
      </w:r>
      <w:r w:rsidR="005026E4">
        <w:t>1</w:t>
      </w:r>
      <w:r w:rsidR="00D757EB">
        <w:t xml:space="preserve"> внешн</w:t>
      </w:r>
      <w:r w:rsidR="005026E4">
        <w:t>юю</w:t>
      </w:r>
      <w:r w:rsidR="00D757EB">
        <w:t xml:space="preserve"> поверхност</w:t>
      </w:r>
      <w:r w:rsidR="005026E4">
        <w:t>ь</w:t>
      </w:r>
      <w:r w:rsidR="00D757EB">
        <w:t xml:space="preserve"> для размещения информации. </w:t>
      </w:r>
      <w:r w:rsidRPr="00EC35A1">
        <w:t>Конструкция монтируется на опорн</w:t>
      </w:r>
      <w:r w:rsidR="00EC35A1" w:rsidRPr="00EC35A1">
        <w:t>ый</w:t>
      </w:r>
      <w:r w:rsidRPr="00EC35A1">
        <w:t xml:space="preserve"> </w:t>
      </w:r>
      <w:r w:rsidR="00EC35A1" w:rsidRPr="00EC35A1">
        <w:t>каркас</w:t>
      </w:r>
      <w:r w:rsidRPr="00EC35A1">
        <w:t xml:space="preserve"> и устанавливается </w:t>
      </w:r>
      <w:r w:rsidR="004D2412">
        <w:br/>
      </w:r>
      <w:r w:rsidRPr="00EC35A1">
        <w:t xml:space="preserve">на заглубленный монолитный железобетонный фундамент, либо на заглубленный </w:t>
      </w:r>
      <w:r>
        <w:t xml:space="preserve">железобетонный ростверк свайного фундамента. </w:t>
      </w:r>
      <w:r w:rsidRPr="0070067E">
        <w:t xml:space="preserve">Все металлоконструкции выполняются </w:t>
      </w:r>
      <w:r w:rsidR="004D2412">
        <w:br/>
      </w:r>
      <w:r w:rsidRPr="0070067E">
        <w:t>в строгом соблюдении проектной документации.</w:t>
      </w:r>
      <w:r>
        <w:t xml:space="preserve"> </w:t>
      </w:r>
      <w:r w:rsidR="004D2412">
        <w:t>Я</w:t>
      </w:r>
      <w:r w:rsidR="00EC35A1">
        <w:t>ркость видеоэкрана</w:t>
      </w:r>
      <w:r w:rsidR="004D2412">
        <w:t xml:space="preserve"> должна</w:t>
      </w:r>
      <w:r w:rsidR="00EC35A1">
        <w:t xml:space="preserve"> </w:t>
      </w:r>
      <w:r w:rsidR="000911A6">
        <w:t xml:space="preserve">соответствовать </w:t>
      </w:r>
      <w:proofErr w:type="spellStart"/>
      <w:r w:rsidR="000911A6">
        <w:t>САНПИНу</w:t>
      </w:r>
      <w:proofErr w:type="spellEnd"/>
      <w:r w:rsidR="000911A6">
        <w:t xml:space="preserve"> 2.2.1/2.1.1.1278-03 «Гигиенические требования </w:t>
      </w:r>
      <w:r w:rsidR="00677E4C">
        <w:br/>
      </w:r>
      <w:r w:rsidR="000911A6">
        <w:t xml:space="preserve">к естественному, искусственному и совмещенному освещению жилых и общественных зданий» и не </w:t>
      </w:r>
      <w:r w:rsidR="00EC35A1">
        <w:t>достига</w:t>
      </w:r>
      <w:r w:rsidR="004D2412">
        <w:t>ть</w:t>
      </w:r>
      <w:r w:rsidR="00EC35A1">
        <w:t xml:space="preserve"> значений 3000 кд/м2</w:t>
      </w:r>
      <w:r w:rsidR="00B60FFD">
        <w:t xml:space="preserve"> в темное время суток</w:t>
      </w:r>
      <w:r w:rsidR="000911A6">
        <w:t>.</w:t>
      </w:r>
      <w:r w:rsidR="00EC35A1">
        <w:t xml:space="preserve"> </w:t>
      </w:r>
    </w:p>
    <w:p w:rsidR="00677E4C" w:rsidRDefault="00EC35A1" w:rsidP="00677E4C">
      <w:pPr>
        <w:pStyle w:val="a3"/>
        <w:spacing w:before="40" w:beforeAutospacing="0" w:after="0" w:afterAutospacing="0"/>
        <w:ind w:firstLine="709"/>
        <w:jc w:val="both"/>
      </w:pPr>
      <w:r>
        <w:t xml:space="preserve">Размещение рекламной конструкции должно соответствовать требованиям </w:t>
      </w:r>
      <w:r w:rsidR="000911A6" w:rsidRPr="000911A6">
        <w:t>ГОСТ</w:t>
      </w:r>
      <w:r w:rsidR="000911A6">
        <w:t>а</w:t>
      </w:r>
      <w:r w:rsidR="000911A6" w:rsidRPr="000911A6">
        <w:t xml:space="preserve"> 33027-2014 «Дороги автомобильные общего пользования. Требования к размещению средств наружной рекламы»</w:t>
      </w:r>
      <w:r w:rsidR="00677E4C">
        <w:t>, в том числе:</w:t>
      </w:r>
    </w:p>
    <w:p w:rsidR="00677E4C" w:rsidRDefault="00677E4C" w:rsidP="00677E4C">
      <w:pPr>
        <w:pStyle w:val="a3"/>
        <w:spacing w:before="40" w:beforeAutospacing="0" w:after="0" w:afterAutospacing="0"/>
        <w:ind w:firstLine="709"/>
        <w:jc w:val="both"/>
      </w:pPr>
      <w:r>
        <w:t>- не мешать восприятию участниками дорожного движения дорожной обстановки или эксплуатации транспортного средства, а также не создавать препятствия для движения пешеходов и велосипедистов;</w:t>
      </w:r>
    </w:p>
    <w:p w:rsidR="00677E4C" w:rsidRDefault="00677E4C" w:rsidP="00677E4C">
      <w:pPr>
        <w:pStyle w:val="a3"/>
        <w:spacing w:before="40" w:beforeAutospacing="0" w:after="0" w:afterAutospacing="0"/>
        <w:ind w:firstLine="709"/>
        <w:jc w:val="both"/>
      </w:pPr>
      <w:r>
        <w:t>- не иметь яркость элементов изображения при внутреннем и внешнем освещении выше 75% фотометрических характеристик дорожных знаков;</w:t>
      </w:r>
    </w:p>
    <w:p w:rsidR="00677E4C" w:rsidRDefault="00677E4C" w:rsidP="00677E4C">
      <w:pPr>
        <w:pStyle w:val="a3"/>
        <w:spacing w:before="40" w:beforeAutospacing="0" w:after="0" w:afterAutospacing="0"/>
        <w:ind w:firstLine="709"/>
        <w:jc w:val="both"/>
      </w:pPr>
      <w:r>
        <w:t xml:space="preserve">- не освещаться в темное время суток на участках дорог, где дорожные знаки </w:t>
      </w:r>
      <w:r w:rsidR="00CB6182">
        <w:br/>
      </w:r>
      <w:r>
        <w:t>не имеют искусственного освещения;</w:t>
      </w:r>
    </w:p>
    <w:p w:rsidR="00EC35A1" w:rsidRDefault="00677E4C" w:rsidP="00677E4C">
      <w:pPr>
        <w:pStyle w:val="a3"/>
        <w:spacing w:before="40" w:beforeAutospacing="0" w:after="0" w:afterAutospacing="0"/>
        <w:ind w:firstLine="709"/>
        <w:jc w:val="both"/>
      </w:pPr>
      <w:r>
        <w:t>- не вызывать ослепление светом участников дорожного движения, в том числе отраженным;</w:t>
      </w:r>
    </w:p>
    <w:p w:rsidR="00F81498" w:rsidRDefault="002611DB" w:rsidP="00677E4C">
      <w:pPr>
        <w:pStyle w:val="a3"/>
        <w:spacing w:before="40" w:beforeAutospacing="0" w:after="0" w:afterAutospacing="0"/>
        <w:ind w:firstLine="709"/>
        <w:jc w:val="both"/>
      </w:pPr>
      <w:r>
        <w:t>3</w:t>
      </w:r>
      <w:r w:rsidR="00C90345">
        <w:t>.</w:t>
      </w:r>
      <w:r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>н соответствовать</w:t>
      </w:r>
      <w:r w:rsidR="007D565C">
        <w:t xml:space="preserve"> паспорту места, приложенному к</w:t>
      </w:r>
      <w:r w:rsidR="00C90345">
        <w:t xml:space="preserve"> </w:t>
      </w:r>
      <w:r w:rsidR="007D565C">
        <w:t>аукционной докум</w:t>
      </w:r>
      <w:r w:rsidR="00EC35A1">
        <w:t>е</w:t>
      </w:r>
      <w:r w:rsidR="007D565C">
        <w:t>н</w:t>
      </w:r>
      <w:r w:rsidR="00EC35A1">
        <w:t>т</w:t>
      </w:r>
      <w:r w:rsidR="007D565C">
        <w:t>ации.</w:t>
      </w:r>
      <w:r w:rsidR="00C90345">
        <w:t xml:space="preserve"> </w:t>
      </w:r>
      <w:r w:rsidR="005637E5" w:rsidRPr="005637E5">
        <w:t>Внешняя поверхнос</w:t>
      </w:r>
      <w:r w:rsidR="00EC35A1">
        <w:t>ть рекламной конструкции и опорный каркас</w:t>
      </w:r>
      <w:r w:rsidR="005637E5" w:rsidRPr="005637E5">
        <w:t xml:space="preserve"> </w:t>
      </w:r>
      <w:r w:rsidR="005E5D1E">
        <w:t>должн</w:t>
      </w:r>
      <w:r w:rsidR="00EC35A1">
        <w:t>ы</w:t>
      </w:r>
      <w:r w:rsidR="005637E5" w:rsidRPr="005637E5">
        <w:t xml:space="preserve"> быть окрашен</w:t>
      </w:r>
      <w:r w:rsidR="00EC35A1">
        <w:t>ы</w:t>
      </w:r>
      <w:r w:rsidR="005637E5" w:rsidRPr="005637E5">
        <w:t xml:space="preserve"> полимерно-порошковым покрытием в цвет по палитре RAL</w:t>
      </w:r>
      <w:r w:rsidR="005637E5"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="005637E5" w:rsidRPr="005637E5">
        <w:t xml:space="preserve"> на территории Свердловской области</w:t>
      </w:r>
      <w:r w:rsidR="005637E5">
        <w:t>, разработанной Министерством по управлению</w:t>
      </w:r>
      <w:r w:rsidR="004B7BEF">
        <w:t xml:space="preserve"> </w:t>
      </w:r>
      <w:r w:rsidR="005637E5"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  <w:r w:rsidR="0070067E">
        <w:t xml:space="preserve"> </w:t>
      </w:r>
    </w:p>
    <w:sectPr w:rsidR="00F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A4EE6"/>
    <w:multiLevelType w:val="hybridMultilevel"/>
    <w:tmpl w:val="2996EA98"/>
    <w:lvl w:ilvl="0" w:tplc="71C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457C69"/>
    <w:multiLevelType w:val="hybridMultilevel"/>
    <w:tmpl w:val="3B045AC4"/>
    <w:lvl w:ilvl="0" w:tplc="AC98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23970"/>
    <w:rsid w:val="00074DC0"/>
    <w:rsid w:val="000851C2"/>
    <w:rsid w:val="000911A6"/>
    <w:rsid w:val="00113FF2"/>
    <w:rsid w:val="001F725B"/>
    <w:rsid w:val="002611DB"/>
    <w:rsid w:val="00291CA6"/>
    <w:rsid w:val="00343240"/>
    <w:rsid w:val="003D3527"/>
    <w:rsid w:val="004B7BEF"/>
    <w:rsid w:val="004D2412"/>
    <w:rsid w:val="005026E4"/>
    <w:rsid w:val="005637E5"/>
    <w:rsid w:val="005B58B1"/>
    <w:rsid w:val="005E5D1E"/>
    <w:rsid w:val="005F5F63"/>
    <w:rsid w:val="005F7BEA"/>
    <w:rsid w:val="00677E4C"/>
    <w:rsid w:val="0070067E"/>
    <w:rsid w:val="007206A9"/>
    <w:rsid w:val="007B3B46"/>
    <w:rsid w:val="007D565C"/>
    <w:rsid w:val="008178A4"/>
    <w:rsid w:val="0082037D"/>
    <w:rsid w:val="00841F05"/>
    <w:rsid w:val="00914AB5"/>
    <w:rsid w:val="00970CCD"/>
    <w:rsid w:val="009E5E36"/>
    <w:rsid w:val="00A351FA"/>
    <w:rsid w:val="00A83A19"/>
    <w:rsid w:val="00A9765B"/>
    <w:rsid w:val="00AA74D7"/>
    <w:rsid w:val="00AB614F"/>
    <w:rsid w:val="00B60FFD"/>
    <w:rsid w:val="00B92009"/>
    <w:rsid w:val="00C90345"/>
    <w:rsid w:val="00CB6182"/>
    <w:rsid w:val="00D01F18"/>
    <w:rsid w:val="00D757EB"/>
    <w:rsid w:val="00E83145"/>
    <w:rsid w:val="00E84553"/>
    <w:rsid w:val="00EC35A1"/>
    <w:rsid w:val="00F05248"/>
    <w:rsid w:val="00F8149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Дерксен Алексей Викторович</cp:lastModifiedBy>
  <cp:revision>2</cp:revision>
  <cp:lastPrinted>2018-01-09T12:14:00Z</cp:lastPrinted>
  <dcterms:created xsi:type="dcterms:W3CDTF">2018-01-23T04:22:00Z</dcterms:created>
  <dcterms:modified xsi:type="dcterms:W3CDTF">2018-01-23T04:22:00Z</dcterms:modified>
</cp:coreProperties>
</file>