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71" w:rsidRDefault="006B2171" w:rsidP="006B217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«СУПЕРСАЙТ»</w:t>
      </w:r>
    </w:p>
    <w:p w:rsidR="006B2171" w:rsidRDefault="006B2171" w:rsidP="006B2171">
      <w:pPr>
        <w:pStyle w:val="a3"/>
        <w:spacing w:before="0" w:beforeAutospacing="0" w:after="0" w:afterAutospacing="0"/>
        <w:jc w:val="both"/>
      </w:pP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>2. Конструкция должна иметь 2 внешних информационных поля. Под информационной поверхностью смонтирован декоративный элемент. 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</w:t>
      </w:r>
      <w:r>
        <w:br/>
        <w:t xml:space="preserve">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6B2171" w:rsidRDefault="006B2171" w:rsidP="006B2171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23B5" wp14:editId="63C17A45">
                <wp:simplePos x="0" y="0"/>
                <wp:positionH relativeFrom="margin">
                  <wp:posOffset>2157095</wp:posOffset>
                </wp:positionH>
                <wp:positionV relativeFrom="paragraph">
                  <wp:posOffset>68580</wp:posOffset>
                </wp:positionV>
                <wp:extent cx="3864634" cy="3381375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381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2171" w:rsidRPr="00E84553" w:rsidRDefault="006B2171" w:rsidP="006B2171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6B2171" w:rsidRPr="008145C9" w:rsidRDefault="006B2171" w:rsidP="006B21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м </w:t>
                            </w:r>
                          </w:p>
                          <w:p w:rsidR="006B2171" w:rsidRPr="00E84553" w:rsidRDefault="006B2171" w:rsidP="006B2171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6B2171" w:rsidRPr="00F16D29" w:rsidRDefault="006B2171" w:rsidP="006B217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6B2171" w:rsidRPr="00F16D29" w:rsidRDefault="006B2171" w:rsidP="006B217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Pr="004D07D5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6B2171" w:rsidRPr="00F16D29" w:rsidRDefault="006B2171" w:rsidP="006B217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F16D29"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6B2171" w:rsidRPr="00F16D29" w:rsidRDefault="006B2171" w:rsidP="006B217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97118"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6B2171" w:rsidRPr="00E84553" w:rsidRDefault="006B2171" w:rsidP="006B2171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6B2171" w:rsidRPr="00E84553" w:rsidRDefault="006B2171" w:rsidP="006B21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6B2171" w:rsidRPr="00E84553" w:rsidRDefault="006B2171" w:rsidP="006B2171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6B2171" w:rsidRPr="00E84553" w:rsidRDefault="006B2171" w:rsidP="006B217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6B2171" w:rsidRPr="00B92009" w:rsidRDefault="006B2171" w:rsidP="006B217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6B2171" w:rsidRPr="00E84553" w:rsidRDefault="006B2171" w:rsidP="006B217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6B2171" w:rsidRPr="00E84553" w:rsidRDefault="006B2171" w:rsidP="006B2171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6B2171" w:rsidRPr="00E84553" w:rsidRDefault="006B2171" w:rsidP="006B217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23B5" id="Прямоугольник 4" o:spid="_x0000_s1026" style="position:absolute;left:0;text-align:left;margin-left:169.85pt;margin-top:5.4pt;width:304.3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" filled="f" stroked="f">
                <v:textbox>
                  <w:txbxContent>
                    <w:p w:rsidR="006B2171" w:rsidRPr="00E84553" w:rsidRDefault="006B2171" w:rsidP="006B2171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6B2171" w:rsidRPr="008145C9" w:rsidRDefault="006B2171" w:rsidP="006B2171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5х15 м </w:t>
                      </w:r>
                    </w:p>
                    <w:p w:rsidR="006B2171" w:rsidRPr="00E84553" w:rsidRDefault="006B2171" w:rsidP="006B2171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6B2171" w:rsidRPr="00F16D29" w:rsidRDefault="006B2171" w:rsidP="006B217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6B2171" w:rsidRPr="00F16D29" w:rsidRDefault="006B2171" w:rsidP="006B217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Pr="004D07D5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6B2171" w:rsidRPr="00F16D29" w:rsidRDefault="006B2171" w:rsidP="006B217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F16D29"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6B2171" w:rsidRPr="00F16D29" w:rsidRDefault="006B2171" w:rsidP="006B2171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97118"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6B2171" w:rsidRPr="00E84553" w:rsidRDefault="006B2171" w:rsidP="006B2171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6B2171" w:rsidRPr="00E84553" w:rsidRDefault="006B2171" w:rsidP="006B2171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6B2171" w:rsidRPr="00E84553" w:rsidRDefault="006B2171" w:rsidP="006B2171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6B2171" w:rsidRPr="00E84553" w:rsidRDefault="006B2171" w:rsidP="006B2171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6B2171" w:rsidRPr="00B92009" w:rsidRDefault="006B2171" w:rsidP="006B2171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6B2171" w:rsidRPr="00E84553" w:rsidRDefault="006B2171" w:rsidP="006B2171">
                      <w:pPr>
                        <w:pStyle w:val="a4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6B2171" w:rsidRPr="00E84553" w:rsidRDefault="006B2171" w:rsidP="006B2171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6B2171" w:rsidRPr="00E84553" w:rsidRDefault="006B2171" w:rsidP="006B2171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2171" w:rsidRDefault="006B2171" w:rsidP="006B2171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07C86A8" wp14:editId="1446897D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B2171" w:rsidRDefault="006B2171" w:rsidP="006B2171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71154B90" wp14:editId="5900B445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71" w:rsidRDefault="006B2171" w:rsidP="006B2171">
      <w:pPr>
        <w:pStyle w:val="a3"/>
        <w:spacing w:after="0"/>
        <w:ind w:firstLine="709"/>
        <w:jc w:val="both"/>
      </w:pPr>
    </w:p>
    <w:p w:rsidR="006B2171" w:rsidRDefault="006B2171" w:rsidP="006B2171">
      <w:pPr>
        <w:pStyle w:val="a3"/>
        <w:spacing w:after="0"/>
        <w:jc w:val="both"/>
      </w:pPr>
    </w:p>
    <w:p w:rsidR="006B2171" w:rsidRDefault="006B2171" w:rsidP="006B2171">
      <w:pPr>
        <w:pStyle w:val="a3"/>
        <w:spacing w:after="0"/>
        <w:ind w:firstLine="709"/>
        <w:jc w:val="both"/>
      </w:pPr>
    </w:p>
    <w:p w:rsidR="006B2171" w:rsidRDefault="006B2171" w:rsidP="006B2171">
      <w:pPr>
        <w:pStyle w:val="a3"/>
        <w:spacing w:after="0"/>
        <w:ind w:firstLine="709"/>
        <w:jc w:val="both"/>
      </w:pPr>
      <w:r w:rsidRPr="005637E5">
        <w:t>Внешняя поверхнос</w:t>
      </w:r>
      <w:r>
        <w:t>ть рекламной конструкции и опора</w:t>
      </w:r>
      <w:r w:rsidRPr="005637E5">
        <w:t xml:space="preserve">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 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p w:rsidR="00AF2F8E" w:rsidRPr="006B2171" w:rsidRDefault="00AF2F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F2F8E" w:rsidRPr="006B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66"/>
    <w:rsid w:val="006B2171"/>
    <w:rsid w:val="00AF2F8E"/>
    <w:rsid w:val="00D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BA9C-BFFD-401A-880F-88CA37E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1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2018-02-22T09:09:00Z</dcterms:created>
  <dcterms:modified xsi:type="dcterms:W3CDTF">2018-02-22T09:09:00Z</dcterms:modified>
</cp:coreProperties>
</file>