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216CBC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НЕСТАНДАРТНОЙ РЕКЛАМНОЙ КОНСТРУКЦИИ 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C7D0D">
        <w:rPr>
          <w:rFonts w:ascii="Liberation Serif" w:hAnsi="Liberation Serif" w:cs="Liberation Serif"/>
          <w:b/>
        </w:rPr>
        <w:t>ПО ИНДИВИДУАЛЬНОМУ ПРОЕКТУ</w:t>
      </w:r>
    </w:p>
    <w:p w:rsidR="00E61505" w:rsidRPr="00EC7D0D" w:rsidRDefault="00E61505" w:rsidP="00E6150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техническим регламентам</w:t>
      </w:r>
      <w:r>
        <w:rPr>
          <w:rFonts w:ascii="Liberation Serif" w:hAnsi="Liberation Serif" w:cs="Liberation Serif"/>
        </w:rPr>
        <w:t xml:space="preserve"> </w:t>
      </w:r>
      <w:r w:rsidRPr="00EC7D0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left="851" w:hanging="142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национальным стандартам ГОСТ-Р;</w:t>
      </w:r>
    </w:p>
    <w:p w:rsidR="00E61505" w:rsidRPr="00EC7D0D" w:rsidRDefault="00E61505" w:rsidP="00E61505">
      <w:pPr>
        <w:pStyle w:val="af2"/>
        <w:spacing w:before="40" w:beforeAutospacing="0" w:after="0" w:afterAutospacing="0"/>
        <w:ind w:firstLine="709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- друг</w:t>
      </w:r>
      <w:r w:rsidR="002731AB">
        <w:rPr>
          <w:rFonts w:ascii="Liberation Serif" w:hAnsi="Liberation Serif" w:cs="Liberation Serif"/>
        </w:rPr>
        <w:t>им документам и правовым актам.</w:t>
      </w:r>
      <w:bookmarkStart w:id="4" w:name="_GoBack"/>
      <w:bookmarkEnd w:id="4"/>
    </w:p>
    <w:p w:rsidR="00E61505" w:rsidRDefault="00E61505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EC7D0D">
        <w:rPr>
          <w:rFonts w:ascii="Liberation Serif" w:hAnsi="Liberation Serif" w:cs="Liberation Serif"/>
        </w:rPr>
        <w:t>2. </w:t>
      </w:r>
      <w:r>
        <w:rPr>
          <w:rFonts w:ascii="Liberation Serif" w:hAnsi="Liberation Serif" w:cs="Liberation Serif"/>
        </w:rPr>
        <w:t>Нестандартная рекламная конструкция</w:t>
      </w:r>
      <w:r w:rsidRPr="00EC7D0D">
        <w:rPr>
          <w:rFonts w:ascii="Liberation Serif" w:hAnsi="Liberation Serif" w:cs="Liberation Serif"/>
        </w:rPr>
        <w:t xml:space="preserve"> – конструкц</w:t>
      </w:r>
      <w:r>
        <w:rPr>
          <w:rFonts w:ascii="Liberation Serif" w:hAnsi="Liberation Serif" w:cs="Liberation Serif"/>
        </w:rPr>
        <w:t>ия, имеющая</w:t>
      </w:r>
      <w:r w:rsidRPr="00EC7D0D">
        <w:rPr>
          <w:rFonts w:ascii="Liberation Serif" w:hAnsi="Liberation Serif" w:cs="Liberation Serif"/>
        </w:rPr>
        <w:t xml:space="preserve"> формат, отличный </w:t>
      </w:r>
      <w:r w:rsidRPr="00EC7D0D">
        <w:rPr>
          <w:rFonts w:ascii="Liberation Serif" w:hAnsi="Liberation Serif" w:cs="Liberation Serif"/>
        </w:rPr>
        <w:br/>
        <w:t>от иных форматов, предусмотренных сборником типовых рекламных конструкций.</w:t>
      </w:r>
    </w:p>
    <w:p w:rsidR="002F1392" w:rsidRPr="002731AB" w:rsidRDefault="002731AB" w:rsidP="00E61505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1AB">
        <w:rPr>
          <w:rFonts w:ascii="Liberation Serif" w:hAnsi="Liberation Serif" w:cs="Liberation Serif"/>
        </w:rPr>
        <w:t xml:space="preserve">Размерные характеристики, внешний вид и дизайн рекламной конструкции определяются </w:t>
      </w:r>
      <w:r w:rsidRPr="002731AB">
        <w:rPr>
          <w:rFonts w:ascii="Liberation Serif" w:hAnsi="Liberation Serif" w:cs="Liberation Serif"/>
        </w:rPr>
        <w:br/>
        <w:t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она вписывается. Все конструктивные элементы выполняются в строгом соблюдении проектной документации.</w:t>
      </w:r>
    </w:p>
    <w:sectPr w:rsidR="002F1392" w:rsidRPr="002731AB" w:rsidSect="00395DE3">
      <w:headerReference w:type="default" r:id="rId8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BC" w:rsidRDefault="00216CBC" w:rsidP="00D20943">
      <w:r>
        <w:separator/>
      </w:r>
    </w:p>
  </w:endnote>
  <w:endnote w:type="continuationSeparator" w:id="0">
    <w:p w:rsidR="00216CBC" w:rsidRDefault="00216CBC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BC" w:rsidRDefault="00216CBC" w:rsidP="00D20943">
      <w:r>
        <w:separator/>
      </w:r>
    </w:p>
  </w:footnote>
  <w:footnote w:type="continuationSeparator" w:id="0">
    <w:p w:rsidR="00216CBC" w:rsidRDefault="00216CBC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731AB" w:rsidRPr="002731AB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16CBC"/>
    <w:rsid w:val="00222669"/>
    <w:rsid w:val="002331AE"/>
    <w:rsid w:val="002731AB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2018-10-23T10:05:00Z</cp:lastPrinted>
  <dcterms:created xsi:type="dcterms:W3CDTF">2019-10-15T06:11:00Z</dcterms:created>
  <dcterms:modified xsi:type="dcterms:W3CDTF">2020-01-27T10:09:00Z</dcterms:modified>
</cp:coreProperties>
</file>